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BD04F2" w:rsidR="00E66C70" w:rsidRDefault="00E66C70" w14:paraId="666F49FD" w14:textId="77777777">
      <w:pPr>
        <w:rPr>
          <w:rFonts w:ascii="Verdana" w:hAnsi="Verdana"/>
          <w:szCs w:val="20"/>
        </w:rPr>
      </w:pPr>
    </w:p>
    <w:p w:rsidRPr="00BD04F2" w:rsidR="00E66C70" w:rsidRDefault="00E66C70" w14:paraId="15D9DC82" w14:textId="77777777">
      <w:pPr>
        <w:rPr>
          <w:rFonts w:ascii="Verdana" w:hAnsi="Verdana"/>
          <w:szCs w:val="20"/>
        </w:rPr>
      </w:pPr>
    </w:p>
    <w:p w:rsidRPr="00BD04F2" w:rsidR="00E66C70" w:rsidRDefault="00E66C70" w14:paraId="600F3E18" w14:textId="77777777">
      <w:pPr>
        <w:rPr>
          <w:rFonts w:ascii="Verdana" w:hAnsi="Verdana"/>
          <w:szCs w:val="20"/>
        </w:rPr>
      </w:pPr>
    </w:p>
    <w:p w:rsidRPr="00BD04F2" w:rsidR="002D43D6" w:rsidRDefault="002D43D6" w14:paraId="2F2AD235" w14:textId="355954C5">
      <w:pPr>
        <w:rPr>
          <w:rFonts w:ascii="Verdana" w:hAnsi="Verdana"/>
          <w:szCs w:val="20"/>
        </w:rPr>
      </w:pPr>
    </w:p>
    <w:p w:rsidRPr="00BD04F2" w:rsidR="002D43D6" w:rsidRDefault="00163B04" w14:paraId="56D9FFE5" w14:textId="26BDD523">
      <w:pPr>
        <w:rPr>
          <w:rFonts w:ascii="Verdana" w:hAnsi="Verdana"/>
          <w:szCs w:val="20"/>
        </w:rPr>
      </w:pPr>
      <w:r w:rsidRPr="00BD04F2">
        <w:rPr>
          <w:rFonts w:ascii="Verdana" w:hAnsi="Verdana"/>
          <w:noProof/>
          <w:lang w:val="fr-CH" w:eastAsia="fr-CH"/>
        </w:rPr>
        <w:drawing>
          <wp:anchor distT="0" distB="0" distL="114300" distR="114300" simplePos="0" relativeHeight="251659264" behindDoc="0" locked="0" layoutInCell="1" allowOverlap="1" wp14:anchorId="645D413E" wp14:editId="04F4401D">
            <wp:simplePos x="0" y="0"/>
            <wp:positionH relativeFrom="column">
              <wp:posOffset>121050</wp:posOffset>
            </wp:positionH>
            <wp:positionV relativeFrom="paragraph">
              <wp:posOffset>8274</wp:posOffset>
            </wp:positionV>
            <wp:extent cx="2453336" cy="1535837"/>
            <wp:effectExtent l="0" t="0" r="4445" b="7620"/>
            <wp:wrapNone/>
            <wp:docPr id="1" name="Image 1" descr="stéthoscope rouge formant un pouce vers le haut le symbole sur le fond blanc - consentement médical photos et images d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éthoscope rouge formant un pouce vers le haut le symbole sur le fond blanc - consentement médical photos et images de colle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336" cy="1535837"/>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D04F2" w:rsidR="002D43D6" w:rsidRDefault="002D43D6" w14:paraId="627432BE" w14:textId="36036EE3">
      <w:pPr>
        <w:rPr>
          <w:rFonts w:ascii="Verdana" w:hAnsi="Verdana"/>
          <w:szCs w:val="20"/>
        </w:rPr>
      </w:pPr>
    </w:p>
    <w:p w:rsidRPr="00BD04F2" w:rsidR="00163B04" w:rsidRDefault="00163B04" w14:paraId="1BE2B626" w14:textId="77777777">
      <w:pPr>
        <w:rPr>
          <w:rFonts w:ascii="Verdana" w:hAnsi="Verdana"/>
          <w:szCs w:val="20"/>
        </w:rPr>
      </w:pPr>
    </w:p>
    <w:p w:rsidRPr="00BD04F2" w:rsidR="00163B04" w:rsidRDefault="00163B04" w14:paraId="5CAC7DB0" w14:textId="77777777">
      <w:pPr>
        <w:rPr>
          <w:rFonts w:ascii="Verdana" w:hAnsi="Verdana"/>
          <w:szCs w:val="20"/>
        </w:rPr>
      </w:pPr>
    </w:p>
    <w:p w:rsidRPr="00BD04F2" w:rsidR="00163B04" w:rsidRDefault="00163B04" w14:paraId="2E884510" w14:textId="77777777">
      <w:pPr>
        <w:rPr>
          <w:rFonts w:ascii="Verdana" w:hAnsi="Verdana"/>
          <w:szCs w:val="20"/>
        </w:rPr>
      </w:pPr>
    </w:p>
    <w:p w:rsidRPr="00BD04F2" w:rsidR="00163B04" w:rsidRDefault="00163B04" w14:paraId="5060BAB4" w14:textId="77777777">
      <w:pPr>
        <w:rPr>
          <w:rFonts w:ascii="Verdana" w:hAnsi="Verdana"/>
          <w:szCs w:val="20"/>
        </w:rPr>
      </w:pPr>
    </w:p>
    <w:p w:rsidRPr="00BD04F2" w:rsidR="00163B04" w:rsidRDefault="00163B04" w14:paraId="2E87CA12" w14:textId="77777777">
      <w:pPr>
        <w:rPr>
          <w:rFonts w:ascii="Verdana" w:hAnsi="Verdana"/>
          <w:szCs w:val="20"/>
        </w:rPr>
      </w:pPr>
    </w:p>
    <w:p w:rsidRPr="00BD04F2" w:rsidR="00163B04" w:rsidRDefault="00163B04" w14:paraId="3B6026E5" w14:textId="77777777">
      <w:pPr>
        <w:rPr>
          <w:rFonts w:ascii="Verdana" w:hAnsi="Verdana"/>
          <w:szCs w:val="20"/>
        </w:rPr>
      </w:pPr>
    </w:p>
    <w:p w:rsidRPr="00BD04F2" w:rsidR="00163B04" w:rsidRDefault="00163B04" w14:paraId="2844EAF0" w14:textId="77777777">
      <w:pPr>
        <w:rPr>
          <w:rFonts w:ascii="Verdana" w:hAnsi="Verdana"/>
          <w:noProof/>
        </w:rPr>
      </w:pPr>
    </w:p>
    <w:p w:rsidRPr="00BD04F2" w:rsidR="00163B04" w:rsidRDefault="00163B04" w14:paraId="4B7795B6" w14:textId="77777777">
      <w:pPr>
        <w:rPr>
          <w:rFonts w:ascii="Verdana" w:hAnsi="Verdana"/>
          <w:noProof/>
        </w:rPr>
      </w:pPr>
    </w:p>
    <w:p w:rsidRPr="00BD04F2" w:rsidR="00163B04" w:rsidRDefault="00163B04" w14:paraId="23D63692" w14:textId="77777777">
      <w:pPr>
        <w:rPr>
          <w:rFonts w:ascii="Verdana" w:hAnsi="Verdana"/>
          <w:noProof/>
        </w:rPr>
      </w:pPr>
    </w:p>
    <w:p w:rsidRPr="00BD04F2" w:rsidR="00163B04" w:rsidRDefault="00163B04" w14:paraId="312BC4C6" w14:textId="77777777">
      <w:pPr>
        <w:rPr>
          <w:rFonts w:ascii="Verdana" w:hAnsi="Verdana"/>
          <w:noProof/>
        </w:rPr>
      </w:pPr>
    </w:p>
    <w:p w:rsidRPr="00BD04F2" w:rsidR="00163B04" w:rsidRDefault="00163B04" w14:paraId="6F299AB8" w14:textId="77777777">
      <w:pPr>
        <w:rPr>
          <w:rFonts w:ascii="Verdana" w:hAnsi="Verdana"/>
          <w:noProof/>
        </w:rPr>
      </w:pPr>
    </w:p>
    <w:p w:rsidRPr="00BD04F2" w:rsidR="00163B04" w:rsidRDefault="00163B04" w14:paraId="631C6D8D" w14:textId="3C110D10">
      <w:pPr>
        <w:rPr>
          <w:rFonts w:ascii="Verdana" w:hAnsi="Verdana"/>
          <w:noProof/>
        </w:rPr>
      </w:pPr>
      <w:r w:rsidRPr="00BD04F2">
        <w:rPr>
          <w:rFonts w:ascii="Verdana" w:hAnsi="Verdana"/>
          <w:noProof/>
          <w:lang w:val="fr-CH" w:eastAsia="fr-CH"/>
        </w:rPr>
        <w:drawing>
          <wp:anchor distT="0" distB="0" distL="114300" distR="114300" simplePos="0" relativeHeight="251658240" behindDoc="0" locked="0" layoutInCell="1" allowOverlap="1" wp14:anchorId="75F3B115" wp14:editId="7C46D9B4">
            <wp:simplePos x="0" y="0"/>
            <wp:positionH relativeFrom="margin">
              <wp:posOffset>3019061</wp:posOffset>
            </wp:positionH>
            <wp:positionV relativeFrom="paragraph">
              <wp:posOffset>2620</wp:posOffset>
            </wp:positionV>
            <wp:extent cx="1779973" cy="1779973"/>
            <wp:effectExtent l="0" t="0" r="0" b="0"/>
            <wp:wrapNone/>
            <wp:docPr id="2" name="Image 2" descr="illustrations, cliparts, dessins animés et icônes de vecteur de consentement d’information - consentement mé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s, cliparts, dessins animés et icônes de vecteur de consentement d’information - consentement méd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9649" cy="1789649"/>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D04F2" w:rsidR="00163B04" w:rsidRDefault="00163B04" w14:paraId="27846129" w14:textId="77777777">
      <w:pPr>
        <w:rPr>
          <w:rFonts w:ascii="Verdana" w:hAnsi="Verdana"/>
          <w:noProof/>
        </w:rPr>
      </w:pPr>
    </w:p>
    <w:p w:rsidRPr="00BD04F2" w:rsidR="00163B04" w:rsidRDefault="00163B04" w14:paraId="61ACEB5C" w14:textId="0D3E3B9A">
      <w:pPr>
        <w:rPr>
          <w:rFonts w:ascii="Verdana" w:hAnsi="Verdana"/>
          <w:noProof/>
        </w:rPr>
      </w:pPr>
    </w:p>
    <w:p w:rsidRPr="00BD04F2" w:rsidR="00163B04" w:rsidRDefault="00163B04" w14:paraId="022A5B18" w14:textId="77777777">
      <w:pPr>
        <w:rPr>
          <w:rFonts w:ascii="Verdana" w:hAnsi="Verdana"/>
          <w:noProof/>
        </w:rPr>
      </w:pPr>
    </w:p>
    <w:p w:rsidRPr="00BD04F2" w:rsidR="00163B04" w:rsidRDefault="00163B04" w14:paraId="3703727F" w14:textId="456004ED">
      <w:pPr>
        <w:rPr>
          <w:rFonts w:ascii="Verdana" w:hAnsi="Verdana"/>
          <w:noProof/>
        </w:rPr>
      </w:pPr>
    </w:p>
    <w:p w:rsidRPr="00BD04F2" w:rsidR="00163B04" w:rsidRDefault="00163B04" w14:paraId="7B8FED0D" w14:textId="2D91B57B">
      <w:pPr>
        <w:rPr>
          <w:rFonts w:ascii="Verdana" w:hAnsi="Verdana"/>
          <w:noProof/>
        </w:rPr>
      </w:pPr>
    </w:p>
    <w:p w:rsidRPr="00BD04F2" w:rsidR="00163B04" w:rsidRDefault="00163B04" w14:paraId="3E428EEA" w14:textId="2F647609">
      <w:pPr>
        <w:rPr>
          <w:rFonts w:ascii="Verdana" w:hAnsi="Verdana"/>
          <w:noProof/>
        </w:rPr>
      </w:pPr>
    </w:p>
    <w:p w:rsidRPr="00BD04F2" w:rsidR="00163B04" w:rsidRDefault="00163B04" w14:paraId="0F157A42" w14:textId="77777777">
      <w:pPr>
        <w:rPr>
          <w:rFonts w:ascii="Verdana" w:hAnsi="Verdana"/>
          <w:noProof/>
        </w:rPr>
      </w:pPr>
    </w:p>
    <w:p w:rsidRPr="00BD04F2" w:rsidR="00163B04" w:rsidRDefault="00163B04" w14:paraId="064431F6" w14:textId="6A908DAB">
      <w:pPr>
        <w:rPr>
          <w:rFonts w:ascii="Verdana" w:hAnsi="Verdana"/>
          <w:noProof/>
        </w:rPr>
      </w:pPr>
    </w:p>
    <w:p w:rsidRPr="00BD04F2" w:rsidR="00163B04" w:rsidRDefault="00163B04" w14:paraId="2BF8059D" w14:textId="74E2979E">
      <w:pPr>
        <w:rPr>
          <w:rFonts w:ascii="Verdana" w:hAnsi="Verdana"/>
          <w:noProof/>
        </w:rPr>
      </w:pPr>
    </w:p>
    <w:p w:rsidRPr="00BD04F2" w:rsidR="00163B04" w:rsidRDefault="00163B04" w14:paraId="38BC2AF0" w14:textId="500FC125">
      <w:pPr>
        <w:rPr>
          <w:rFonts w:ascii="Verdana" w:hAnsi="Verdana"/>
          <w:noProof/>
        </w:rPr>
      </w:pPr>
    </w:p>
    <w:p w:rsidRPr="00BD04F2" w:rsidR="00163B04" w:rsidRDefault="00163B04" w14:paraId="0871DB00" w14:textId="77777777">
      <w:pPr>
        <w:rPr>
          <w:rFonts w:ascii="Verdana" w:hAnsi="Verdana"/>
          <w:noProof/>
        </w:rPr>
      </w:pPr>
    </w:p>
    <w:p w:rsidRPr="00BD04F2" w:rsidR="00163B04" w:rsidRDefault="00163B04" w14:paraId="6944D2C1" w14:textId="6EC7AFF7">
      <w:pPr>
        <w:rPr>
          <w:rFonts w:ascii="Verdana" w:hAnsi="Verdana"/>
          <w:noProof/>
        </w:rPr>
      </w:pPr>
    </w:p>
    <w:p w:rsidRPr="00BD04F2" w:rsidR="00163B04" w:rsidRDefault="00163B04" w14:paraId="52DF5C18" w14:textId="77777777">
      <w:pPr>
        <w:rPr>
          <w:rFonts w:ascii="Verdana" w:hAnsi="Verdana"/>
          <w:noProof/>
        </w:rPr>
      </w:pPr>
    </w:p>
    <w:p w:rsidRPr="00BD04F2" w:rsidR="00163B04" w:rsidRDefault="00163B04" w14:paraId="188FA6A0" w14:textId="707309BC">
      <w:pPr>
        <w:rPr>
          <w:rFonts w:ascii="Verdana" w:hAnsi="Verdana"/>
          <w:noProof/>
        </w:rPr>
      </w:pPr>
    </w:p>
    <w:p w:rsidRPr="00BD04F2" w:rsidR="00163B04" w:rsidRDefault="00163B04" w14:paraId="1AA9E70A" w14:textId="77777777">
      <w:pPr>
        <w:rPr>
          <w:rFonts w:ascii="Verdana" w:hAnsi="Verdana"/>
          <w:noProof/>
        </w:rPr>
      </w:pPr>
    </w:p>
    <w:p w:rsidRPr="00BD04F2" w:rsidR="002156ED" w:rsidP="003470B3" w:rsidRDefault="002156ED" w14:paraId="5520E508" w14:textId="5A6DCF50">
      <w:pPr>
        <w:spacing w:before="120" w:after="120" w:line="276" w:lineRule="auto"/>
        <w:jc w:val="both"/>
        <w:rPr>
          <w:rFonts w:ascii="Verdana" w:hAnsi="Verdana" w:cs="Arial"/>
          <w:b/>
          <w:bCs/>
          <w:color w:val="0070C0"/>
          <w:sz w:val="22"/>
          <w:lang w:val="fr-CH"/>
        </w:rPr>
      </w:pPr>
      <w:r w:rsidRPr="00BD04F2">
        <w:rPr>
          <w:rFonts w:ascii="Verdana" w:hAnsi="Verdana" w:cs="Arial"/>
          <w:b/>
          <w:bCs/>
          <w:color w:val="0070C0"/>
          <w:sz w:val="22"/>
          <w:lang w:val="fr-CH"/>
        </w:rPr>
        <w:t xml:space="preserve">MODULE V </w:t>
      </w:r>
    </w:p>
    <w:p w:rsidRPr="00BD04F2" w:rsidR="00163B04" w:rsidRDefault="00163B04" w14:paraId="46D05AE6" w14:textId="69FF4EAD">
      <w:pPr>
        <w:rPr>
          <w:rFonts w:ascii="Verdana" w:hAnsi="Verdana"/>
          <w:noProof/>
          <w:lang w:val="fr-CH"/>
        </w:rPr>
      </w:pPr>
    </w:p>
    <w:p w:rsidRPr="00BD04F2" w:rsidR="00163B04" w:rsidP="004A714E" w:rsidRDefault="008976E0" w14:paraId="135282C2" w14:textId="6050432A">
      <w:pPr>
        <w:pStyle w:val="Paragraphedeliste"/>
        <w:numPr>
          <w:ilvl w:val="0"/>
          <w:numId w:val="40"/>
        </w:numPr>
        <w:spacing w:before="120" w:after="120" w:line="276" w:lineRule="auto"/>
        <w:rPr>
          <w:rFonts w:ascii="Verdana" w:hAnsi="Verdana"/>
          <w:noProof/>
          <w:color w:val="0070C0"/>
          <w:lang w:val="fr-CH"/>
        </w:rPr>
      </w:pPr>
      <w:r w:rsidRPr="00BD04F2">
        <w:rPr>
          <w:rFonts w:ascii="Verdana" w:hAnsi="Verdana"/>
          <w:color w:val="0070C0"/>
          <w:szCs w:val="20"/>
          <w:lang w:val="fr-CH"/>
        </w:rPr>
        <w:t>Choix</w:t>
      </w:r>
      <w:r w:rsidRPr="00BD04F2" w:rsidR="00D92412">
        <w:rPr>
          <w:rFonts w:ascii="Verdana" w:hAnsi="Verdana"/>
          <w:color w:val="0070C0"/>
          <w:szCs w:val="20"/>
          <w:lang w:val="fr-CH"/>
        </w:rPr>
        <w:t xml:space="preserve"> éclairé des soins</w:t>
      </w:r>
    </w:p>
    <w:p w:rsidRPr="00BD04F2" w:rsidR="00163B04" w:rsidP="004A714E" w:rsidRDefault="008976E0" w14:paraId="718E6906" w14:textId="1F5D9255">
      <w:pPr>
        <w:pStyle w:val="Paragraphedeliste"/>
        <w:numPr>
          <w:ilvl w:val="0"/>
          <w:numId w:val="40"/>
        </w:numPr>
        <w:spacing w:before="120" w:after="120" w:line="276" w:lineRule="auto"/>
        <w:rPr>
          <w:rFonts w:ascii="Verdana" w:hAnsi="Verdana"/>
          <w:color w:val="0070C0"/>
          <w:szCs w:val="20"/>
          <w:lang w:val="fr-CH"/>
        </w:rPr>
      </w:pPr>
      <w:r w:rsidRPr="00BD04F2">
        <w:rPr>
          <w:rFonts w:ascii="Verdana" w:hAnsi="Verdana"/>
          <w:color w:val="0070C0"/>
          <w:szCs w:val="20"/>
          <w:lang w:val="fr-CH"/>
        </w:rPr>
        <w:t>Communication envers les patients et patientes</w:t>
      </w:r>
    </w:p>
    <w:p w:rsidRPr="00BD04F2" w:rsidR="00163B04" w:rsidP="004A714E" w:rsidRDefault="00EA0104" w14:paraId="1E463287" w14:textId="091D7649">
      <w:pPr>
        <w:pStyle w:val="Paragraphedeliste"/>
        <w:numPr>
          <w:ilvl w:val="0"/>
          <w:numId w:val="40"/>
        </w:numPr>
        <w:spacing w:before="120" w:after="120" w:line="276" w:lineRule="auto"/>
        <w:rPr>
          <w:rFonts w:ascii="Verdana" w:hAnsi="Verdana"/>
          <w:color w:val="0070C0"/>
          <w:szCs w:val="20"/>
          <w:lang w:val="fr-CH"/>
        </w:rPr>
      </w:pPr>
      <w:r w:rsidRPr="00BD04F2">
        <w:rPr>
          <w:rFonts w:ascii="Verdana" w:hAnsi="Verdana"/>
          <w:color w:val="0070C0"/>
          <w:szCs w:val="20"/>
          <w:lang w:val="fr-CH"/>
        </w:rPr>
        <w:t>Directives anticipées et représentation dans le domaine médical</w:t>
      </w:r>
    </w:p>
    <w:p w:rsidRPr="00BD04F2" w:rsidR="00163B04" w:rsidP="004A714E" w:rsidRDefault="00EA0104" w14:paraId="4457BF9A" w14:textId="314F2414">
      <w:pPr>
        <w:pStyle w:val="Paragraphedeliste"/>
        <w:numPr>
          <w:ilvl w:val="0"/>
          <w:numId w:val="40"/>
        </w:numPr>
        <w:spacing w:before="120" w:after="120" w:line="276" w:lineRule="auto"/>
        <w:rPr>
          <w:rFonts w:ascii="Verdana" w:hAnsi="Verdana"/>
          <w:color w:val="0070C0"/>
          <w:szCs w:val="20"/>
          <w:lang w:val="fr-CH"/>
        </w:rPr>
      </w:pPr>
      <w:r w:rsidRPr="00BD04F2">
        <w:rPr>
          <w:rFonts w:ascii="Verdana" w:hAnsi="Verdana"/>
          <w:color w:val="0070C0"/>
          <w:szCs w:val="20"/>
          <w:lang w:val="fr-CH"/>
        </w:rPr>
        <w:t>Mesures de curatelles et mandat pour cause d’inaptitude</w:t>
      </w:r>
    </w:p>
    <w:p w:rsidRPr="00BD04F2" w:rsidR="00163B04" w:rsidP="004A714E" w:rsidRDefault="000C0E59" w14:paraId="259700FD" w14:textId="01D429A2">
      <w:pPr>
        <w:pStyle w:val="Paragraphedeliste"/>
        <w:numPr>
          <w:ilvl w:val="0"/>
          <w:numId w:val="40"/>
        </w:numPr>
        <w:spacing w:before="120" w:after="120" w:line="276" w:lineRule="auto"/>
        <w:rPr>
          <w:rFonts w:ascii="Verdana" w:hAnsi="Verdana"/>
          <w:color w:val="0070C0"/>
          <w:szCs w:val="20"/>
          <w:lang w:val="fr-CH"/>
        </w:rPr>
      </w:pPr>
      <w:r w:rsidRPr="00BD04F2">
        <w:rPr>
          <w:rFonts w:ascii="Verdana" w:hAnsi="Verdana"/>
          <w:color w:val="0070C0"/>
          <w:szCs w:val="20"/>
          <w:lang w:val="fr-CH"/>
        </w:rPr>
        <w:t>Plafa et traitement consécutif</w:t>
      </w:r>
    </w:p>
    <w:p w:rsidRPr="00BD04F2" w:rsidR="00163B04" w:rsidRDefault="00163B04" w14:paraId="64D976C4" w14:textId="77777777">
      <w:pPr>
        <w:rPr>
          <w:rFonts w:ascii="Verdana" w:hAnsi="Verdana"/>
          <w:szCs w:val="20"/>
          <w:lang w:val="fr-CH"/>
        </w:rPr>
      </w:pPr>
    </w:p>
    <w:p w:rsidRPr="00BD04F2" w:rsidR="00163B04" w:rsidRDefault="00163B04" w14:paraId="065D08A4" w14:textId="77777777">
      <w:pPr>
        <w:rPr>
          <w:rFonts w:ascii="Verdana" w:hAnsi="Verdana"/>
          <w:szCs w:val="20"/>
          <w:lang w:val="fr-CH"/>
        </w:rPr>
      </w:pPr>
    </w:p>
    <w:p w:rsidRPr="00BD04F2" w:rsidR="00163B04" w:rsidRDefault="00163B04" w14:paraId="268718B7" w14:textId="77777777">
      <w:pPr>
        <w:rPr>
          <w:rFonts w:ascii="Verdana" w:hAnsi="Verdana"/>
          <w:szCs w:val="20"/>
          <w:lang w:val="fr-CH"/>
        </w:rPr>
      </w:pPr>
    </w:p>
    <w:p w:rsidRPr="00BD04F2" w:rsidR="00163B04" w:rsidRDefault="00163B04" w14:paraId="56C04EC8" w14:textId="77777777">
      <w:pPr>
        <w:rPr>
          <w:rFonts w:ascii="Verdana" w:hAnsi="Verdana"/>
          <w:szCs w:val="20"/>
          <w:lang w:val="fr-CH"/>
        </w:rPr>
      </w:pPr>
    </w:p>
    <w:p w:rsidRPr="00BD04F2" w:rsidR="00163B04" w:rsidRDefault="00163B04" w14:paraId="1DBAFE52" w14:textId="77777777">
      <w:pPr>
        <w:rPr>
          <w:rFonts w:ascii="Verdana" w:hAnsi="Verdana"/>
          <w:szCs w:val="20"/>
          <w:lang w:val="fr-CH"/>
        </w:rPr>
      </w:pPr>
    </w:p>
    <w:p w:rsidRPr="00BD04F2" w:rsidR="00717892" w:rsidRDefault="00717892" w14:paraId="7D0F2E4D" w14:textId="4F193A7D">
      <w:pPr>
        <w:rPr>
          <w:rFonts w:ascii="Verdana" w:hAnsi="Verdana" w:cstheme="majorHAnsi"/>
          <w:caps/>
          <w:color w:val="6DC1FF" w:themeColor="background2"/>
          <w:szCs w:val="20"/>
          <w:lang w:val="fr-CH"/>
        </w:rPr>
      </w:pPr>
      <w:r w:rsidRPr="00BD04F2">
        <w:rPr>
          <w:rFonts w:ascii="Verdana" w:hAnsi="Verdana"/>
          <w:szCs w:val="20"/>
          <w:lang w:val="fr-CH"/>
        </w:rPr>
        <w:br w:type="page"/>
      </w:r>
    </w:p>
    <w:p w:rsidRPr="00BD04F2" w:rsidR="00D9776B" w:rsidP="0008315C" w:rsidRDefault="00D9776B" w14:paraId="551D3FC8" w14:textId="095AA787">
      <w:pPr>
        <w:pStyle w:val="Titre"/>
        <w:jc w:val="both"/>
        <w:rPr>
          <w:rFonts w:ascii="Verdana" w:hAnsi="Verdana"/>
          <w:sz w:val="20"/>
          <w:szCs w:val="20"/>
          <w:lang w:val="fr-CH"/>
        </w:rPr>
      </w:pPr>
    </w:p>
    <w:bookmarkStart w:name="_Toc301794646" w:displacedByCustomXml="next" w:id="0"/>
    <w:bookmarkEnd w:displacedByCustomXml="prev" w:id="0"/>
    <w:sdt>
      <w:sdtPr>
        <w:id w:val="1411423427"/>
        <w:docPartObj>
          <w:docPartGallery w:val="Table of Contents"/>
          <w:docPartUnique/>
        </w:docPartObj>
        <w:rPr>
          <w:rFonts w:ascii="Verdana" w:hAnsi="Verdana"/>
        </w:rPr>
      </w:sdtPr>
      <w:sdtEndPr>
        <w:rPr>
          <w:rFonts w:ascii="Verdana" w:hAnsi="Verdana"/>
          <w:b w:val="1"/>
          <w:bCs w:val="1"/>
        </w:rPr>
      </w:sdtEndPr>
      <w:sdtContent>
        <w:p w:rsidRPr="00BD04F2" w:rsidR="00061C97" w:rsidP="00DC7723" w:rsidRDefault="00061C97" w14:paraId="22C4E094" w14:textId="77777777">
          <w:pPr>
            <w:pBdr>
              <w:top w:val="single" w:color="002060" w:sz="12" w:space="1"/>
            </w:pBdr>
            <w:jc w:val="both"/>
            <w:rPr>
              <w:rFonts w:ascii="Verdana" w:hAnsi="Verdana"/>
              <w:szCs w:val="20"/>
            </w:rPr>
          </w:pPr>
        </w:p>
        <w:p w:rsidR="00AF2D73" w:rsidP="00C36922" w:rsidRDefault="00061C97" w14:paraId="65E590B3" w14:textId="78C287C1">
          <w:pPr>
            <w:pStyle w:val="TM1"/>
            <w:tabs>
              <w:tab w:val="clear" w:pos="9060"/>
              <w:tab w:val="right" w:pos="9639"/>
            </w:tabs>
            <w:rPr>
              <w:rFonts w:asciiTheme="minorHAnsi" w:hAnsiTheme="minorHAnsi" w:eastAsiaTheme="minorEastAsia" w:cstheme="minorBidi"/>
              <w:color w:val="auto"/>
              <w:sz w:val="22"/>
              <w:szCs w:val="22"/>
              <w:lang w:val="fr-CH" w:eastAsia="fr-CH"/>
            </w:rPr>
          </w:pPr>
          <w:r w:rsidRPr="00BD04F2">
            <w:rPr>
              <w:rFonts w:ascii="Verdana" w:hAnsi="Verdana" w:eastAsia="Times New Roman"/>
              <w:sz w:val="20"/>
              <w:szCs w:val="20"/>
              <w:lang w:eastAsia="de-DE"/>
            </w:rPr>
            <w:fldChar w:fldCharType="begin"/>
          </w:r>
          <w:r w:rsidRPr="00BD04F2">
            <w:rPr>
              <w:rFonts w:ascii="Verdana" w:hAnsi="Verdana"/>
              <w:sz w:val="20"/>
              <w:szCs w:val="20"/>
            </w:rPr>
            <w:instrText xml:space="preserve"> TOC \o "1-3" \h \z \u </w:instrText>
          </w:r>
          <w:r w:rsidRPr="00BD04F2">
            <w:rPr>
              <w:rFonts w:ascii="Verdana" w:hAnsi="Verdana" w:eastAsia="Times New Roman"/>
              <w:sz w:val="20"/>
              <w:szCs w:val="20"/>
              <w:lang w:eastAsia="de-DE"/>
            </w:rPr>
            <w:fldChar w:fldCharType="separate"/>
          </w:r>
          <w:hyperlink w:history="1" w:anchor="_Toc127619215">
            <w:r w:rsidRPr="008445AF" w:rsidR="00AF2D73">
              <w:rPr>
                <w:rStyle w:val="Lienhypertexte"/>
              </w:rPr>
              <w:t>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Sources / bref rappel historique</w:t>
            </w:r>
            <w:r w:rsidR="00AF2D73">
              <w:rPr>
                <w:webHidden/>
              </w:rPr>
              <w:tab/>
            </w:r>
            <w:r w:rsidR="00AF2D73">
              <w:rPr>
                <w:webHidden/>
              </w:rPr>
              <w:fldChar w:fldCharType="begin"/>
            </w:r>
            <w:r w:rsidR="00AF2D73">
              <w:rPr>
                <w:webHidden/>
              </w:rPr>
              <w:instrText xml:space="preserve"> PAGEREF _Toc127619215 \h </w:instrText>
            </w:r>
            <w:r w:rsidR="00AF2D73">
              <w:rPr>
                <w:webHidden/>
              </w:rPr>
            </w:r>
            <w:r w:rsidR="00AF2D73">
              <w:rPr>
                <w:webHidden/>
              </w:rPr>
              <w:fldChar w:fldCharType="separate"/>
            </w:r>
            <w:r w:rsidR="00447E44">
              <w:rPr>
                <w:webHidden/>
              </w:rPr>
              <w:t>3</w:t>
            </w:r>
            <w:r w:rsidR="00AF2D73">
              <w:rPr>
                <w:webHidden/>
              </w:rPr>
              <w:fldChar w:fldCharType="end"/>
            </w:r>
          </w:hyperlink>
        </w:p>
        <w:p w:rsidR="00AF2D73" w:rsidP="00C36922" w:rsidRDefault="002830F6" w14:paraId="32ED15E5" w14:textId="5ADF4371">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16">
            <w:r w:rsidRPr="008445AF" w:rsidR="00AF2D73">
              <w:rPr>
                <w:rStyle w:val="Lienhypertexte"/>
              </w:rPr>
              <w:t>II.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Siège de la matière / fondements juridiques</w:t>
            </w:r>
            <w:r w:rsidR="00AF2D73">
              <w:rPr>
                <w:webHidden/>
              </w:rPr>
              <w:tab/>
            </w:r>
            <w:r w:rsidR="00AF2D73">
              <w:rPr>
                <w:webHidden/>
              </w:rPr>
              <w:fldChar w:fldCharType="begin"/>
            </w:r>
            <w:r w:rsidR="00AF2D73">
              <w:rPr>
                <w:webHidden/>
              </w:rPr>
              <w:instrText xml:space="preserve"> PAGEREF _Toc127619216 \h </w:instrText>
            </w:r>
            <w:r w:rsidR="00AF2D73">
              <w:rPr>
                <w:webHidden/>
              </w:rPr>
            </w:r>
            <w:r w:rsidR="00AF2D73">
              <w:rPr>
                <w:webHidden/>
              </w:rPr>
              <w:fldChar w:fldCharType="separate"/>
            </w:r>
            <w:r w:rsidR="00447E44">
              <w:rPr>
                <w:webHidden/>
              </w:rPr>
              <w:t>5</w:t>
            </w:r>
            <w:r w:rsidR="00AF2D73">
              <w:rPr>
                <w:webHidden/>
              </w:rPr>
              <w:fldChar w:fldCharType="end"/>
            </w:r>
          </w:hyperlink>
        </w:p>
        <w:p w:rsidR="00AF2D73" w:rsidP="00C36922" w:rsidRDefault="002830F6" w14:paraId="4C6DB720" w14:textId="0F92300A">
          <w:pPr>
            <w:pStyle w:val="TM2"/>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17">
            <w:r w:rsidRPr="008445AF" w:rsidR="00AF2D73">
              <w:rPr>
                <w:rStyle w:val="Lienhypertexte"/>
              </w:rPr>
              <w:t>1)</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Fondements juridiques</w:t>
            </w:r>
            <w:r w:rsidR="00AF2D73">
              <w:rPr>
                <w:webHidden/>
              </w:rPr>
              <w:tab/>
            </w:r>
            <w:r w:rsidR="00AF2D73">
              <w:rPr>
                <w:webHidden/>
              </w:rPr>
              <w:fldChar w:fldCharType="begin"/>
            </w:r>
            <w:r w:rsidR="00AF2D73">
              <w:rPr>
                <w:webHidden/>
              </w:rPr>
              <w:instrText xml:space="preserve"> PAGEREF _Toc127619217 \h </w:instrText>
            </w:r>
            <w:r w:rsidR="00AF2D73">
              <w:rPr>
                <w:webHidden/>
              </w:rPr>
            </w:r>
            <w:r w:rsidR="00AF2D73">
              <w:rPr>
                <w:webHidden/>
              </w:rPr>
              <w:fldChar w:fldCharType="separate"/>
            </w:r>
            <w:r w:rsidR="00447E44">
              <w:rPr>
                <w:webHidden/>
              </w:rPr>
              <w:t>5</w:t>
            </w:r>
            <w:r w:rsidR="00AF2D73">
              <w:rPr>
                <w:webHidden/>
              </w:rPr>
              <w:fldChar w:fldCharType="end"/>
            </w:r>
          </w:hyperlink>
        </w:p>
        <w:p w:rsidR="00AF2D73" w:rsidP="00C36922" w:rsidRDefault="002830F6" w14:paraId="281724A9" w14:textId="0541F579">
          <w:pPr>
            <w:pStyle w:val="TM2"/>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18">
            <w:r w:rsidRPr="008445AF" w:rsidR="00AF2D73">
              <w:rPr>
                <w:rStyle w:val="Lienhypertexte"/>
              </w:rPr>
              <w:t>2)</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Fondements déontologiques</w:t>
            </w:r>
            <w:r w:rsidR="00AF2D73">
              <w:rPr>
                <w:webHidden/>
              </w:rPr>
              <w:tab/>
            </w:r>
            <w:r w:rsidR="00AF2D73">
              <w:rPr>
                <w:webHidden/>
              </w:rPr>
              <w:fldChar w:fldCharType="begin"/>
            </w:r>
            <w:r w:rsidR="00AF2D73">
              <w:rPr>
                <w:webHidden/>
              </w:rPr>
              <w:instrText xml:space="preserve"> PAGEREF _Toc127619218 \h </w:instrText>
            </w:r>
            <w:r w:rsidR="00AF2D73">
              <w:rPr>
                <w:webHidden/>
              </w:rPr>
            </w:r>
            <w:r w:rsidR="00AF2D73">
              <w:rPr>
                <w:webHidden/>
              </w:rPr>
              <w:fldChar w:fldCharType="separate"/>
            </w:r>
            <w:r w:rsidR="00447E44">
              <w:rPr>
                <w:webHidden/>
              </w:rPr>
              <w:t>6</w:t>
            </w:r>
            <w:r w:rsidR="00AF2D73">
              <w:rPr>
                <w:webHidden/>
              </w:rPr>
              <w:fldChar w:fldCharType="end"/>
            </w:r>
          </w:hyperlink>
        </w:p>
        <w:p w:rsidR="00AF2D73" w:rsidP="00C36922" w:rsidRDefault="002830F6" w14:paraId="1AE63FAA" w14:textId="2648B59E">
          <w:pPr>
            <w:pStyle w:val="TM3"/>
            <w:tabs>
              <w:tab w:val="clear" w:pos="9060"/>
              <w:tab w:val="right" w:pos="9639"/>
            </w:tabs>
            <w:ind w:hanging="283"/>
            <w:rPr>
              <w:rFonts w:asciiTheme="minorHAnsi" w:hAnsiTheme="minorHAnsi" w:eastAsiaTheme="minorEastAsia" w:cstheme="minorBidi"/>
              <w:color w:val="auto"/>
              <w:sz w:val="22"/>
              <w:szCs w:val="22"/>
              <w:lang w:val="fr-CH" w:eastAsia="fr-CH"/>
            </w:rPr>
          </w:pPr>
          <w:hyperlink w:history="1" w:anchor="_Toc127619219">
            <w:r w:rsidRPr="008445AF" w:rsidR="00AF2D73">
              <w:rPr>
                <w:rStyle w:val="Lienhypertexte"/>
              </w:rPr>
              <w:t>a)</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 serment d’Hippocrate</w:t>
            </w:r>
            <w:r w:rsidR="00AF2D73">
              <w:rPr>
                <w:webHidden/>
              </w:rPr>
              <w:tab/>
            </w:r>
            <w:r w:rsidR="00AF2D73">
              <w:rPr>
                <w:webHidden/>
              </w:rPr>
              <w:fldChar w:fldCharType="begin"/>
            </w:r>
            <w:r w:rsidR="00AF2D73">
              <w:rPr>
                <w:webHidden/>
              </w:rPr>
              <w:instrText xml:space="preserve"> PAGEREF _Toc127619219 \h </w:instrText>
            </w:r>
            <w:r w:rsidR="00AF2D73">
              <w:rPr>
                <w:webHidden/>
              </w:rPr>
            </w:r>
            <w:r w:rsidR="00AF2D73">
              <w:rPr>
                <w:webHidden/>
              </w:rPr>
              <w:fldChar w:fldCharType="separate"/>
            </w:r>
            <w:r w:rsidR="00447E44">
              <w:rPr>
                <w:webHidden/>
              </w:rPr>
              <w:t>6</w:t>
            </w:r>
            <w:r w:rsidR="00AF2D73">
              <w:rPr>
                <w:webHidden/>
              </w:rPr>
              <w:fldChar w:fldCharType="end"/>
            </w:r>
          </w:hyperlink>
        </w:p>
        <w:p w:rsidR="00AF2D73" w:rsidP="00C36922" w:rsidRDefault="002830F6" w14:paraId="0E250F30" w14:textId="2B165E18">
          <w:pPr>
            <w:pStyle w:val="TM3"/>
            <w:tabs>
              <w:tab w:val="clear" w:pos="9060"/>
              <w:tab w:val="right" w:pos="9639"/>
            </w:tabs>
            <w:ind w:hanging="283"/>
            <w:rPr>
              <w:rFonts w:asciiTheme="minorHAnsi" w:hAnsiTheme="minorHAnsi" w:eastAsiaTheme="minorEastAsia" w:cstheme="minorBidi"/>
              <w:color w:val="auto"/>
              <w:sz w:val="22"/>
              <w:szCs w:val="22"/>
              <w:lang w:val="fr-CH" w:eastAsia="fr-CH"/>
            </w:rPr>
          </w:pPr>
          <w:hyperlink w:history="1" w:anchor="_Toc127619220">
            <w:r w:rsidRPr="008445AF" w:rsidR="00AF2D73">
              <w:rPr>
                <w:rStyle w:val="Lienhypertexte"/>
              </w:rPr>
              <w:t>b)</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 code de déontologie de la FMH</w:t>
            </w:r>
            <w:r w:rsidR="00AF2D73">
              <w:rPr>
                <w:webHidden/>
              </w:rPr>
              <w:tab/>
            </w:r>
            <w:r w:rsidR="00AF2D73">
              <w:rPr>
                <w:webHidden/>
              </w:rPr>
              <w:fldChar w:fldCharType="begin"/>
            </w:r>
            <w:r w:rsidR="00AF2D73">
              <w:rPr>
                <w:webHidden/>
              </w:rPr>
              <w:instrText xml:space="preserve"> PAGEREF _Toc127619220 \h </w:instrText>
            </w:r>
            <w:r w:rsidR="00AF2D73">
              <w:rPr>
                <w:webHidden/>
              </w:rPr>
            </w:r>
            <w:r w:rsidR="00AF2D73">
              <w:rPr>
                <w:webHidden/>
              </w:rPr>
              <w:fldChar w:fldCharType="separate"/>
            </w:r>
            <w:r w:rsidR="00447E44">
              <w:rPr>
                <w:webHidden/>
              </w:rPr>
              <w:t>6</w:t>
            </w:r>
            <w:r w:rsidR="00AF2D73">
              <w:rPr>
                <w:webHidden/>
              </w:rPr>
              <w:fldChar w:fldCharType="end"/>
            </w:r>
          </w:hyperlink>
        </w:p>
        <w:p w:rsidR="00AF2D73" w:rsidP="00C36922" w:rsidRDefault="002830F6" w14:paraId="3EC46148" w14:textId="5668AC63">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1">
            <w:r w:rsidRPr="008445AF" w:rsidR="00AF2D73">
              <w:rPr>
                <w:rStyle w:val="Lienhypertexte"/>
              </w:rPr>
              <w:t>III.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Définitions des notions clefs</w:t>
            </w:r>
            <w:r w:rsidR="00AF2D73">
              <w:rPr>
                <w:webHidden/>
              </w:rPr>
              <w:tab/>
            </w:r>
            <w:r w:rsidR="00AF2D73">
              <w:rPr>
                <w:webHidden/>
              </w:rPr>
              <w:fldChar w:fldCharType="begin"/>
            </w:r>
            <w:r w:rsidR="00AF2D73">
              <w:rPr>
                <w:webHidden/>
              </w:rPr>
              <w:instrText xml:space="preserve"> PAGEREF _Toc127619221 \h </w:instrText>
            </w:r>
            <w:r w:rsidR="00AF2D73">
              <w:rPr>
                <w:webHidden/>
              </w:rPr>
            </w:r>
            <w:r w:rsidR="00AF2D73">
              <w:rPr>
                <w:webHidden/>
              </w:rPr>
              <w:fldChar w:fldCharType="separate"/>
            </w:r>
            <w:r w:rsidR="00447E44">
              <w:rPr>
                <w:webHidden/>
              </w:rPr>
              <w:t>7</w:t>
            </w:r>
            <w:r w:rsidR="00AF2D73">
              <w:rPr>
                <w:webHidden/>
              </w:rPr>
              <w:fldChar w:fldCharType="end"/>
            </w:r>
          </w:hyperlink>
        </w:p>
        <w:p w:rsidR="00AF2D73" w:rsidP="00C36922" w:rsidRDefault="002830F6" w14:paraId="0ED4CD84" w14:textId="02511BAB">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2">
            <w:r w:rsidRPr="008445AF" w:rsidR="00AF2D73">
              <w:rPr>
                <w:rStyle w:val="Lienhypertexte"/>
              </w:rPr>
              <w:t>a)</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L’obligation d’informer le patient</w:t>
            </w:r>
            <w:r w:rsidR="00AF2D73">
              <w:rPr>
                <w:webHidden/>
              </w:rPr>
              <w:tab/>
            </w:r>
            <w:r w:rsidR="00AF2D73">
              <w:rPr>
                <w:webHidden/>
              </w:rPr>
              <w:fldChar w:fldCharType="begin"/>
            </w:r>
            <w:r w:rsidR="00AF2D73">
              <w:rPr>
                <w:webHidden/>
              </w:rPr>
              <w:instrText xml:space="preserve"> PAGEREF _Toc127619222 \h </w:instrText>
            </w:r>
            <w:r w:rsidR="00AF2D73">
              <w:rPr>
                <w:webHidden/>
              </w:rPr>
            </w:r>
            <w:r w:rsidR="00AF2D73">
              <w:rPr>
                <w:webHidden/>
              </w:rPr>
              <w:fldChar w:fldCharType="separate"/>
            </w:r>
            <w:r w:rsidR="00447E44">
              <w:rPr>
                <w:webHidden/>
              </w:rPr>
              <w:t>7</w:t>
            </w:r>
            <w:r w:rsidR="00AF2D73">
              <w:rPr>
                <w:webHidden/>
              </w:rPr>
              <w:fldChar w:fldCharType="end"/>
            </w:r>
          </w:hyperlink>
        </w:p>
        <w:p w:rsidR="00AF2D73" w:rsidP="00C36922" w:rsidRDefault="002830F6" w14:paraId="14DD09F0" w14:textId="007D9392">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3">
            <w:r w:rsidRPr="008445AF" w:rsidR="00AF2D73">
              <w:rPr>
                <w:rStyle w:val="Lienhypertexte"/>
              </w:rPr>
              <w:t>b)</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 principe</w:t>
            </w:r>
            <w:r w:rsidR="00AF2D73">
              <w:rPr>
                <w:webHidden/>
              </w:rPr>
              <w:tab/>
            </w:r>
            <w:r w:rsidR="00AF2D73">
              <w:rPr>
                <w:webHidden/>
              </w:rPr>
              <w:fldChar w:fldCharType="begin"/>
            </w:r>
            <w:r w:rsidR="00AF2D73">
              <w:rPr>
                <w:webHidden/>
              </w:rPr>
              <w:instrText xml:space="preserve"> PAGEREF _Toc127619223 \h </w:instrText>
            </w:r>
            <w:r w:rsidR="00AF2D73">
              <w:rPr>
                <w:webHidden/>
              </w:rPr>
            </w:r>
            <w:r w:rsidR="00AF2D73">
              <w:rPr>
                <w:webHidden/>
              </w:rPr>
              <w:fldChar w:fldCharType="separate"/>
            </w:r>
            <w:r w:rsidR="00447E44">
              <w:rPr>
                <w:webHidden/>
              </w:rPr>
              <w:t>7</w:t>
            </w:r>
            <w:r w:rsidR="00AF2D73">
              <w:rPr>
                <w:webHidden/>
              </w:rPr>
              <w:fldChar w:fldCharType="end"/>
            </w:r>
          </w:hyperlink>
        </w:p>
        <w:p w:rsidR="00AF2D73" w:rsidP="00C36922" w:rsidRDefault="002830F6" w14:paraId="7ED2EC83" w14:textId="5CFE91AD">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4">
            <w:r w:rsidRPr="008445AF" w:rsidR="00AF2D73">
              <w:rPr>
                <w:rStyle w:val="Lienhypertexte"/>
              </w:rPr>
              <w:t>c)</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Exceptions à l’obligation d’informer</w:t>
            </w:r>
            <w:r w:rsidR="00AF2D73">
              <w:rPr>
                <w:webHidden/>
              </w:rPr>
              <w:tab/>
            </w:r>
            <w:r w:rsidR="00AF2D73">
              <w:rPr>
                <w:webHidden/>
              </w:rPr>
              <w:fldChar w:fldCharType="begin"/>
            </w:r>
            <w:r w:rsidR="00AF2D73">
              <w:rPr>
                <w:webHidden/>
              </w:rPr>
              <w:instrText xml:space="preserve"> PAGEREF _Toc127619224 \h </w:instrText>
            </w:r>
            <w:r w:rsidR="00AF2D73">
              <w:rPr>
                <w:webHidden/>
              </w:rPr>
            </w:r>
            <w:r w:rsidR="00AF2D73">
              <w:rPr>
                <w:webHidden/>
              </w:rPr>
              <w:fldChar w:fldCharType="separate"/>
            </w:r>
            <w:r w:rsidR="00447E44">
              <w:rPr>
                <w:webHidden/>
              </w:rPr>
              <w:t>7</w:t>
            </w:r>
            <w:r w:rsidR="00AF2D73">
              <w:rPr>
                <w:webHidden/>
              </w:rPr>
              <w:fldChar w:fldCharType="end"/>
            </w:r>
          </w:hyperlink>
        </w:p>
        <w:p w:rsidR="00AF2D73" w:rsidP="00C36922" w:rsidRDefault="002830F6" w14:paraId="7CC863DC" w14:textId="62340311">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5">
            <w:r w:rsidRPr="008445AF" w:rsidR="00AF2D73">
              <w:rPr>
                <w:rStyle w:val="Lienhypertexte"/>
              </w:rPr>
              <w:t>d)</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les difficultés</w:t>
            </w:r>
            <w:r w:rsidR="00AF2D73">
              <w:rPr>
                <w:webHidden/>
              </w:rPr>
              <w:tab/>
            </w:r>
            <w:r w:rsidR="00AF2D73">
              <w:rPr>
                <w:webHidden/>
              </w:rPr>
              <w:fldChar w:fldCharType="begin"/>
            </w:r>
            <w:r w:rsidR="00AF2D73">
              <w:rPr>
                <w:webHidden/>
              </w:rPr>
              <w:instrText xml:space="preserve"> PAGEREF _Toc127619225 \h </w:instrText>
            </w:r>
            <w:r w:rsidR="00AF2D73">
              <w:rPr>
                <w:webHidden/>
              </w:rPr>
            </w:r>
            <w:r w:rsidR="00AF2D73">
              <w:rPr>
                <w:webHidden/>
              </w:rPr>
              <w:fldChar w:fldCharType="separate"/>
            </w:r>
            <w:r w:rsidR="00447E44">
              <w:rPr>
                <w:webHidden/>
              </w:rPr>
              <w:t>8</w:t>
            </w:r>
            <w:r w:rsidR="00AF2D73">
              <w:rPr>
                <w:webHidden/>
              </w:rPr>
              <w:fldChar w:fldCharType="end"/>
            </w:r>
          </w:hyperlink>
        </w:p>
        <w:p w:rsidR="00AF2D73" w:rsidP="00C36922" w:rsidRDefault="002830F6" w14:paraId="2EABDBF2" w14:textId="79CDB1FB">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6">
            <w:r w:rsidRPr="008445AF" w:rsidR="00AF2D73">
              <w:rPr>
                <w:rStyle w:val="Lienhypertexte"/>
              </w:rPr>
              <w:t>e)</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Les conséquences d’une violation de l’obligation d’informer</w:t>
            </w:r>
            <w:r w:rsidR="00AF2D73">
              <w:rPr>
                <w:webHidden/>
              </w:rPr>
              <w:tab/>
            </w:r>
            <w:r w:rsidR="00AF2D73">
              <w:rPr>
                <w:webHidden/>
              </w:rPr>
              <w:fldChar w:fldCharType="begin"/>
            </w:r>
            <w:r w:rsidR="00AF2D73">
              <w:rPr>
                <w:webHidden/>
              </w:rPr>
              <w:instrText xml:space="preserve"> PAGEREF _Toc127619226 \h </w:instrText>
            </w:r>
            <w:r w:rsidR="00AF2D73">
              <w:rPr>
                <w:webHidden/>
              </w:rPr>
            </w:r>
            <w:r w:rsidR="00AF2D73">
              <w:rPr>
                <w:webHidden/>
              </w:rPr>
              <w:fldChar w:fldCharType="separate"/>
            </w:r>
            <w:r w:rsidR="00447E44">
              <w:rPr>
                <w:webHidden/>
              </w:rPr>
              <w:t>8</w:t>
            </w:r>
            <w:r w:rsidR="00AF2D73">
              <w:rPr>
                <w:webHidden/>
              </w:rPr>
              <w:fldChar w:fldCharType="end"/>
            </w:r>
          </w:hyperlink>
        </w:p>
        <w:p w:rsidR="00AF2D73" w:rsidP="00C36922" w:rsidRDefault="002830F6" w14:paraId="1221917B" w14:textId="0AD790AC">
          <w:pPr>
            <w:pStyle w:val="TM2"/>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7">
            <w:r w:rsidRPr="008445AF" w:rsidR="00AF2D73">
              <w:rPr>
                <w:rStyle w:val="Lienhypertexte"/>
              </w:rPr>
              <w:t>3)</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L’obligation d’obtenir le consentement du patient</w:t>
            </w:r>
            <w:r w:rsidR="00AF2D73">
              <w:rPr>
                <w:webHidden/>
              </w:rPr>
              <w:tab/>
            </w:r>
            <w:r w:rsidR="00AF2D73">
              <w:rPr>
                <w:webHidden/>
              </w:rPr>
              <w:fldChar w:fldCharType="begin"/>
            </w:r>
            <w:r w:rsidR="00AF2D73">
              <w:rPr>
                <w:webHidden/>
              </w:rPr>
              <w:instrText xml:space="preserve"> PAGEREF _Toc127619227 \h </w:instrText>
            </w:r>
            <w:r w:rsidR="00AF2D73">
              <w:rPr>
                <w:webHidden/>
              </w:rPr>
            </w:r>
            <w:r w:rsidR="00AF2D73">
              <w:rPr>
                <w:webHidden/>
              </w:rPr>
              <w:fldChar w:fldCharType="separate"/>
            </w:r>
            <w:r w:rsidR="00447E44">
              <w:rPr>
                <w:webHidden/>
              </w:rPr>
              <w:t>9</w:t>
            </w:r>
            <w:r w:rsidR="00AF2D73">
              <w:rPr>
                <w:webHidden/>
              </w:rPr>
              <w:fldChar w:fldCharType="end"/>
            </w:r>
          </w:hyperlink>
        </w:p>
        <w:p w:rsidR="00AF2D73" w:rsidP="00C36922" w:rsidRDefault="002830F6" w14:paraId="2CD6E8DC" w14:textId="494F75E8">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8">
            <w:r w:rsidRPr="008445AF" w:rsidR="00AF2D73">
              <w:rPr>
                <w:rStyle w:val="Lienhypertexte"/>
              </w:rPr>
              <w:t>a)</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 principe</w:t>
            </w:r>
            <w:r w:rsidR="00AF2D73">
              <w:rPr>
                <w:webHidden/>
              </w:rPr>
              <w:tab/>
            </w:r>
            <w:r w:rsidR="00AF2D73">
              <w:rPr>
                <w:webHidden/>
              </w:rPr>
              <w:fldChar w:fldCharType="begin"/>
            </w:r>
            <w:r w:rsidR="00AF2D73">
              <w:rPr>
                <w:webHidden/>
              </w:rPr>
              <w:instrText xml:space="preserve"> PAGEREF _Toc127619228 \h </w:instrText>
            </w:r>
            <w:r w:rsidR="00AF2D73">
              <w:rPr>
                <w:webHidden/>
              </w:rPr>
            </w:r>
            <w:r w:rsidR="00AF2D73">
              <w:rPr>
                <w:webHidden/>
              </w:rPr>
              <w:fldChar w:fldCharType="separate"/>
            </w:r>
            <w:r w:rsidR="00447E44">
              <w:rPr>
                <w:webHidden/>
              </w:rPr>
              <w:t>9</w:t>
            </w:r>
            <w:r w:rsidR="00AF2D73">
              <w:rPr>
                <w:webHidden/>
              </w:rPr>
              <w:fldChar w:fldCharType="end"/>
            </w:r>
          </w:hyperlink>
        </w:p>
        <w:p w:rsidR="00AF2D73" w:rsidP="00C36922" w:rsidRDefault="002830F6" w14:paraId="4BB01D35" w14:textId="10595CA7">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29">
            <w:r w:rsidRPr="008445AF" w:rsidR="00AF2D73">
              <w:rPr>
                <w:rStyle w:val="Lienhypertexte"/>
              </w:rPr>
              <w:t>IV.</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La capacité de discernement</w:t>
            </w:r>
            <w:r w:rsidR="00AF2D73">
              <w:rPr>
                <w:webHidden/>
              </w:rPr>
              <w:tab/>
            </w:r>
            <w:r w:rsidR="00AF2D73">
              <w:rPr>
                <w:webHidden/>
              </w:rPr>
              <w:fldChar w:fldCharType="begin"/>
            </w:r>
            <w:r w:rsidR="00AF2D73">
              <w:rPr>
                <w:webHidden/>
              </w:rPr>
              <w:instrText xml:space="preserve"> PAGEREF _Toc127619229 \h </w:instrText>
            </w:r>
            <w:r w:rsidR="00AF2D73">
              <w:rPr>
                <w:webHidden/>
              </w:rPr>
            </w:r>
            <w:r w:rsidR="00AF2D73">
              <w:rPr>
                <w:webHidden/>
              </w:rPr>
              <w:fldChar w:fldCharType="separate"/>
            </w:r>
            <w:r w:rsidR="00447E44">
              <w:rPr>
                <w:webHidden/>
              </w:rPr>
              <w:t>10</w:t>
            </w:r>
            <w:r w:rsidR="00AF2D73">
              <w:rPr>
                <w:webHidden/>
              </w:rPr>
              <w:fldChar w:fldCharType="end"/>
            </w:r>
          </w:hyperlink>
        </w:p>
        <w:p w:rsidR="00AF2D73" w:rsidP="00C36922" w:rsidRDefault="002830F6" w14:paraId="3E5D5990" w14:textId="05DF7AF4">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0">
            <w:r w:rsidRPr="008445AF" w:rsidR="00AF2D73">
              <w:rPr>
                <w:rStyle w:val="Lienhypertexte"/>
              </w:rPr>
              <w:t>V.</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La représentation des personnes incapables de discernement</w:t>
            </w:r>
            <w:r w:rsidR="00AF2D73">
              <w:rPr>
                <w:webHidden/>
              </w:rPr>
              <w:tab/>
            </w:r>
            <w:r w:rsidR="00AF2D73">
              <w:rPr>
                <w:webHidden/>
              </w:rPr>
              <w:fldChar w:fldCharType="begin"/>
            </w:r>
            <w:r w:rsidR="00AF2D73">
              <w:rPr>
                <w:webHidden/>
              </w:rPr>
              <w:instrText xml:space="preserve"> PAGEREF _Toc127619230 \h </w:instrText>
            </w:r>
            <w:r w:rsidR="00AF2D73">
              <w:rPr>
                <w:webHidden/>
              </w:rPr>
            </w:r>
            <w:r w:rsidR="00AF2D73">
              <w:rPr>
                <w:webHidden/>
              </w:rPr>
              <w:fldChar w:fldCharType="separate"/>
            </w:r>
            <w:r w:rsidR="00447E44">
              <w:rPr>
                <w:webHidden/>
              </w:rPr>
              <w:t>10</w:t>
            </w:r>
            <w:r w:rsidR="00AF2D73">
              <w:rPr>
                <w:webHidden/>
              </w:rPr>
              <w:fldChar w:fldCharType="end"/>
            </w:r>
          </w:hyperlink>
        </w:p>
        <w:p w:rsidR="00AF2D73" w:rsidP="00C36922" w:rsidRDefault="002830F6" w14:paraId="1E41C4F4" w14:textId="69110BAB">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1">
            <w:r w:rsidRPr="008445AF" w:rsidR="00AF2D73">
              <w:rPr>
                <w:rStyle w:val="Lienhypertexte"/>
              </w:rPr>
              <w:t>VI.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l’obligation de documenTER l’information et le consentement du patient (les bases légales)</w:t>
            </w:r>
            <w:r w:rsidR="00AF2D73">
              <w:rPr>
                <w:webHidden/>
              </w:rPr>
              <w:tab/>
            </w:r>
            <w:r w:rsidR="00AF2D73">
              <w:rPr>
                <w:webHidden/>
              </w:rPr>
              <w:fldChar w:fldCharType="begin"/>
            </w:r>
            <w:r w:rsidR="00AF2D73">
              <w:rPr>
                <w:webHidden/>
              </w:rPr>
              <w:instrText xml:space="preserve"> PAGEREF _Toc127619231 \h </w:instrText>
            </w:r>
            <w:r w:rsidR="00AF2D73">
              <w:rPr>
                <w:webHidden/>
              </w:rPr>
            </w:r>
            <w:r w:rsidR="00AF2D73">
              <w:rPr>
                <w:webHidden/>
              </w:rPr>
              <w:fldChar w:fldCharType="separate"/>
            </w:r>
            <w:r w:rsidR="00447E44">
              <w:rPr>
                <w:webHidden/>
              </w:rPr>
              <w:t>11</w:t>
            </w:r>
            <w:r w:rsidR="00AF2D73">
              <w:rPr>
                <w:webHidden/>
              </w:rPr>
              <w:fldChar w:fldCharType="end"/>
            </w:r>
          </w:hyperlink>
        </w:p>
        <w:p w:rsidR="00AF2D73" w:rsidP="00C36922" w:rsidRDefault="002830F6" w14:paraId="5C2D7DBC" w14:textId="778B1C90">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2">
            <w:r w:rsidRPr="008445AF" w:rsidR="00AF2D73">
              <w:rPr>
                <w:rStyle w:val="Lienhypertexte"/>
              </w:rPr>
              <w:t>VII.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Les législations cantonales portant sur les droits des patients</w:t>
            </w:r>
            <w:r w:rsidR="00AF2D73">
              <w:rPr>
                <w:webHidden/>
              </w:rPr>
              <w:tab/>
            </w:r>
            <w:r w:rsidR="00AF2D73">
              <w:rPr>
                <w:webHidden/>
              </w:rPr>
              <w:fldChar w:fldCharType="begin"/>
            </w:r>
            <w:r w:rsidR="00AF2D73">
              <w:rPr>
                <w:webHidden/>
              </w:rPr>
              <w:instrText xml:space="preserve"> PAGEREF _Toc127619232 \h </w:instrText>
            </w:r>
            <w:r w:rsidR="00AF2D73">
              <w:rPr>
                <w:webHidden/>
              </w:rPr>
            </w:r>
            <w:r w:rsidR="00AF2D73">
              <w:rPr>
                <w:webHidden/>
              </w:rPr>
              <w:fldChar w:fldCharType="separate"/>
            </w:r>
            <w:r w:rsidR="00447E44">
              <w:rPr>
                <w:webHidden/>
              </w:rPr>
              <w:t>11</w:t>
            </w:r>
            <w:r w:rsidR="00AF2D73">
              <w:rPr>
                <w:webHidden/>
              </w:rPr>
              <w:fldChar w:fldCharType="end"/>
            </w:r>
          </w:hyperlink>
        </w:p>
        <w:p w:rsidR="00AF2D73" w:rsidP="00C36922" w:rsidRDefault="002830F6" w14:paraId="583D7EDF" w14:textId="087428FC">
          <w:pPr>
            <w:pStyle w:val="TM3"/>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3">
            <w:r w:rsidRPr="008445AF" w:rsidR="00AF2D73">
              <w:rPr>
                <w:rStyle w:val="Lienhypertexte"/>
              </w:rPr>
              <w:t>a)</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Le code de déontologie de la FMH</w:t>
            </w:r>
            <w:r w:rsidR="00AF2D73">
              <w:rPr>
                <w:webHidden/>
              </w:rPr>
              <w:tab/>
            </w:r>
            <w:r w:rsidR="00AF2D73">
              <w:rPr>
                <w:webHidden/>
              </w:rPr>
              <w:fldChar w:fldCharType="begin"/>
            </w:r>
            <w:r w:rsidR="00AF2D73">
              <w:rPr>
                <w:webHidden/>
              </w:rPr>
              <w:instrText xml:space="preserve"> PAGEREF _Toc127619233 \h </w:instrText>
            </w:r>
            <w:r w:rsidR="00AF2D73">
              <w:rPr>
                <w:webHidden/>
              </w:rPr>
            </w:r>
            <w:r w:rsidR="00AF2D73">
              <w:rPr>
                <w:webHidden/>
              </w:rPr>
              <w:fldChar w:fldCharType="separate"/>
            </w:r>
            <w:r w:rsidR="00447E44">
              <w:rPr>
                <w:webHidden/>
              </w:rPr>
              <w:t>11</w:t>
            </w:r>
            <w:r w:rsidR="00AF2D73">
              <w:rPr>
                <w:webHidden/>
              </w:rPr>
              <w:fldChar w:fldCharType="end"/>
            </w:r>
          </w:hyperlink>
        </w:p>
        <w:p w:rsidR="00AF2D73" w:rsidP="00C36922" w:rsidRDefault="002830F6" w14:paraId="4A39083A" w14:textId="344197F3">
          <w:pPr>
            <w:pStyle w:val="TM2"/>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4">
            <w:r w:rsidRPr="008445AF" w:rsidR="00AF2D73">
              <w:rPr>
                <w:rStyle w:val="Lienhypertexte"/>
              </w:rPr>
              <w:t>4)</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Comment communiquer efficacement dans le domaine médical</w:t>
            </w:r>
            <w:r w:rsidR="00AF2D73">
              <w:rPr>
                <w:webHidden/>
              </w:rPr>
              <w:tab/>
            </w:r>
            <w:r w:rsidR="00AF2D73">
              <w:rPr>
                <w:webHidden/>
              </w:rPr>
              <w:fldChar w:fldCharType="begin"/>
            </w:r>
            <w:r w:rsidR="00AF2D73">
              <w:rPr>
                <w:webHidden/>
              </w:rPr>
              <w:instrText xml:space="preserve"> PAGEREF _Toc127619234 \h </w:instrText>
            </w:r>
            <w:r w:rsidR="00AF2D73">
              <w:rPr>
                <w:webHidden/>
              </w:rPr>
            </w:r>
            <w:r w:rsidR="00AF2D73">
              <w:rPr>
                <w:webHidden/>
              </w:rPr>
              <w:fldChar w:fldCharType="separate"/>
            </w:r>
            <w:r w:rsidR="00447E44">
              <w:rPr>
                <w:webHidden/>
              </w:rPr>
              <w:t>12</w:t>
            </w:r>
            <w:r w:rsidR="00AF2D73">
              <w:rPr>
                <w:webHidden/>
              </w:rPr>
              <w:fldChar w:fldCharType="end"/>
            </w:r>
          </w:hyperlink>
        </w:p>
        <w:p w:rsidR="00AF2D73" w:rsidP="00C36922" w:rsidRDefault="002830F6" w14:paraId="08FD8366" w14:textId="69F548F7">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5">
            <w:r w:rsidRPr="008445AF" w:rsidR="00AF2D73">
              <w:rPr>
                <w:rStyle w:val="Lienhypertexte"/>
              </w:rPr>
              <w:t>VIII.</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Résumé des slides (essentiel)</w:t>
            </w:r>
            <w:r w:rsidR="00AF2D73">
              <w:rPr>
                <w:webHidden/>
              </w:rPr>
              <w:tab/>
            </w:r>
            <w:r w:rsidR="00AF2D73">
              <w:rPr>
                <w:webHidden/>
              </w:rPr>
              <w:fldChar w:fldCharType="begin"/>
            </w:r>
            <w:r w:rsidR="00AF2D73">
              <w:rPr>
                <w:webHidden/>
              </w:rPr>
              <w:instrText xml:space="preserve"> PAGEREF _Toc127619235 \h </w:instrText>
            </w:r>
            <w:r w:rsidR="00AF2D73">
              <w:rPr>
                <w:webHidden/>
              </w:rPr>
            </w:r>
            <w:r w:rsidR="00AF2D73">
              <w:rPr>
                <w:webHidden/>
              </w:rPr>
              <w:fldChar w:fldCharType="separate"/>
            </w:r>
            <w:r w:rsidR="00447E44">
              <w:rPr>
                <w:webHidden/>
              </w:rPr>
              <w:t>14</w:t>
            </w:r>
            <w:r w:rsidR="00AF2D73">
              <w:rPr>
                <w:webHidden/>
              </w:rPr>
              <w:fldChar w:fldCharType="end"/>
            </w:r>
          </w:hyperlink>
        </w:p>
        <w:p w:rsidR="00AF2D73" w:rsidP="00C36922" w:rsidRDefault="002830F6" w14:paraId="00A689DE" w14:textId="63D3F7D0">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6">
            <w:r w:rsidRPr="008445AF" w:rsidR="00AF2D73">
              <w:rPr>
                <w:rStyle w:val="Lienhypertexte"/>
              </w:rPr>
              <w:t>IX.</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Apports complémentaires tirés de l’ouvrage du Prof. Olivier Guillod (ou autre)</w:t>
            </w:r>
            <w:r w:rsidR="00AF2D73">
              <w:rPr>
                <w:webHidden/>
              </w:rPr>
              <w:tab/>
            </w:r>
            <w:r w:rsidR="00AF2D73">
              <w:rPr>
                <w:webHidden/>
              </w:rPr>
              <w:fldChar w:fldCharType="begin"/>
            </w:r>
            <w:r w:rsidR="00AF2D73">
              <w:rPr>
                <w:webHidden/>
              </w:rPr>
              <w:instrText xml:space="preserve"> PAGEREF _Toc127619236 \h </w:instrText>
            </w:r>
            <w:r w:rsidR="00AF2D73">
              <w:rPr>
                <w:webHidden/>
              </w:rPr>
            </w:r>
            <w:r w:rsidR="00AF2D73">
              <w:rPr>
                <w:webHidden/>
              </w:rPr>
              <w:fldChar w:fldCharType="separate"/>
            </w:r>
            <w:r w:rsidR="00447E44">
              <w:rPr>
                <w:webHidden/>
              </w:rPr>
              <w:t>16</w:t>
            </w:r>
            <w:r w:rsidR="00AF2D73">
              <w:rPr>
                <w:webHidden/>
              </w:rPr>
              <w:fldChar w:fldCharType="end"/>
            </w:r>
          </w:hyperlink>
        </w:p>
        <w:p w:rsidR="00AF2D73" w:rsidP="00C36922" w:rsidRDefault="002830F6" w14:paraId="1003CAC4" w14:textId="2B3B511C">
          <w:pPr>
            <w:pStyle w:val="TM1"/>
            <w:tabs>
              <w:tab w:val="clear" w:pos="9060"/>
              <w:tab w:val="right" w:pos="9639"/>
            </w:tabs>
            <w:rPr>
              <w:rFonts w:asciiTheme="minorHAnsi" w:hAnsiTheme="minorHAnsi" w:eastAsiaTheme="minorEastAsia" w:cstheme="minorBidi"/>
              <w:color w:val="auto"/>
              <w:sz w:val="22"/>
              <w:szCs w:val="22"/>
              <w:lang w:val="fr-CH" w:eastAsia="fr-CH"/>
            </w:rPr>
          </w:pPr>
          <w:hyperlink w:history="1" w:anchor="_Toc127619237">
            <w:r w:rsidRPr="008445AF" w:rsidR="00AF2D73">
              <w:rPr>
                <w:rStyle w:val="Lienhypertexte"/>
              </w:rPr>
              <w:t>X.</w:t>
            </w:r>
            <w:r w:rsidR="00AF2D73">
              <w:rPr>
                <w:rFonts w:asciiTheme="minorHAnsi" w:hAnsiTheme="minorHAnsi" w:eastAsiaTheme="minorEastAsia" w:cstheme="minorBidi"/>
                <w:color w:val="auto"/>
                <w:sz w:val="22"/>
                <w:szCs w:val="22"/>
                <w:lang w:val="fr-CH" w:eastAsia="fr-CH"/>
              </w:rPr>
              <w:tab/>
            </w:r>
            <w:r w:rsidRPr="008445AF" w:rsidR="00AF2D73">
              <w:rPr>
                <w:rStyle w:val="Lienhypertexte"/>
              </w:rPr>
              <w:t>Jurisprudence associée</w:t>
            </w:r>
            <w:r w:rsidR="00AF2D73">
              <w:rPr>
                <w:webHidden/>
              </w:rPr>
              <w:tab/>
            </w:r>
            <w:r w:rsidR="00AF2D73">
              <w:rPr>
                <w:webHidden/>
              </w:rPr>
              <w:fldChar w:fldCharType="begin"/>
            </w:r>
            <w:r w:rsidR="00AF2D73">
              <w:rPr>
                <w:webHidden/>
              </w:rPr>
              <w:instrText xml:space="preserve"> PAGEREF _Toc127619237 \h </w:instrText>
            </w:r>
            <w:r w:rsidR="00AF2D73">
              <w:rPr>
                <w:webHidden/>
              </w:rPr>
            </w:r>
            <w:r w:rsidR="00AF2D73">
              <w:rPr>
                <w:webHidden/>
              </w:rPr>
              <w:fldChar w:fldCharType="separate"/>
            </w:r>
            <w:r w:rsidR="00447E44">
              <w:rPr>
                <w:webHidden/>
              </w:rPr>
              <w:t>18</w:t>
            </w:r>
            <w:r w:rsidR="00AF2D73">
              <w:rPr>
                <w:webHidden/>
              </w:rPr>
              <w:fldChar w:fldCharType="end"/>
            </w:r>
          </w:hyperlink>
        </w:p>
        <w:p w:rsidRPr="00BD04F2" w:rsidR="00061C97" w:rsidP="00C36922" w:rsidRDefault="00061C97" w14:paraId="5A4A6378" w14:textId="7C866EC2">
          <w:pPr>
            <w:tabs>
              <w:tab w:val="right" w:pos="9639"/>
            </w:tabs>
            <w:jc w:val="both"/>
            <w:rPr>
              <w:rFonts w:ascii="Verdana" w:hAnsi="Verdana"/>
              <w:szCs w:val="20"/>
            </w:rPr>
          </w:pPr>
          <w:r w:rsidRPr="00BD04F2">
            <w:rPr>
              <w:rFonts w:ascii="Verdana" w:hAnsi="Verdana"/>
              <w:szCs w:val="20"/>
            </w:rPr>
            <w:fldChar w:fldCharType="end"/>
          </w:r>
        </w:p>
      </w:sdtContent>
    </w:sdt>
    <w:p w:rsidRPr="00BD04F2" w:rsidR="00E841B6" w:rsidP="00C36922" w:rsidRDefault="00E841B6" w14:paraId="72D6E1EF" w14:textId="77777777">
      <w:pPr>
        <w:ind w:left="-142"/>
        <w:jc w:val="both"/>
        <w:rPr>
          <w:rFonts w:ascii="Verdana" w:hAnsi="Verdana" w:cstheme="minorHAnsi"/>
          <w:szCs w:val="20"/>
        </w:rPr>
      </w:pPr>
      <w:r w:rsidRPr="00BD04F2">
        <w:rPr>
          <w:rFonts w:ascii="Verdana" w:hAnsi="Verdana" w:cstheme="minorHAnsi"/>
          <w:szCs w:val="20"/>
        </w:rPr>
        <w:br w:type="page"/>
      </w:r>
    </w:p>
    <w:p w:rsidRPr="00BD04F2" w:rsidR="00895F26" w:rsidP="00895F26" w:rsidRDefault="00895F26" w14:paraId="6A5011CD" w14:textId="555E1C9B">
      <w:pPr>
        <w:spacing w:line="276" w:lineRule="auto"/>
        <w:jc w:val="both"/>
        <w:rPr>
          <w:rFonts w:ascii="Verdana" w:hAnsi="Verdana" w:cs="Arial"/>
          <w:b/>
          <w:bCs/>
          <w:sz w:val="22"/>
        </w:rPr>
      </w:pPr>
      <w:r w:rsidRPr="00BD04F2">
        <w:rPr>
          <w:rFonts w:ascii="Verdana" w:hAnsi="Verdana" w:cs="Arial"/>
          <w:b/>
          <w:bCs/>
          <w:sz w:val="22"/>
        </w:rPr>
        <w:t>CHOIX ÉCLAIRÉ DES SOINS</w:t>
      </w:r>
    </w:p>
    <w:p w:rsidRPr="00BD04F2" w:rsidR="00D43EBE" w:rsidP="00D43EBE" w:rsidRDefault="00323C45" w14:paraId="447AE4D2" w14:textId="17D27FE5">
      <w:pPr>
        <w:rPr>
          <w:rFonts w:ascii="Verdana" w:hAnsi="Verdana"/>
          <w:lang w:val="fr-CH"/>
        </w:rPr>
      </w:pPr>
      <w:r w:rsidRPr="00BD04F2">
        <w:rPr>
          <w:rFonts w:ascii="Verdana" w:hAnsi="Verdana" w:cs="Arial"/>
          <w:noProof/>
          <w:color w:val="4C204A" w:themeColor="accent1" w:themeShade="BF"/>
          <w:sz w:val="22"/>
          <w:lang w:val="fr-CH" w:eastAsia="fr-CH"/>
        </w:rPr>
        <w:drawing>
          <wp:anchor distT="0" distB="0" distL="114300" distR="114300" simplePos="0" relativeHeight="251660288" behindDoc="0" locked="0" layoutInCell="1" allowOverlap="1" wp14:anchorId="7B124EED" wp14:editId="67AB977B">
            <wp:simplePos x="0" y="0"/>
            <wp:positionH relativeFrom="column">
              <wp:posOffset>635</wp:posOffset>
            </wp:positionH>
            <wp:positionV relativeFrom="paragraph">
              <wp:posOffset>89541</wp:posOffset>
            </wp:positionV>
            <wp:extent cx="5756910" cy="21590"/>
            <wp:effectExtent l="0" t="0" r="0" b="0"/>
            <wp:wrapNone/>
            <wp:docPr id="3" name="Image 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1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D04F2" w:rsidR="00C84472" w:rsidP="00050DB3" w:rsidRDefault="00C84472" w14:paraId="2F06CA5F" w14:textId="77777777">
      <w:pPr>
        <w:pBdr>
          <w:top w:val="single" w:color="002060" w:sz="12" w:space="1"/>
        </w:pBdr>
        <w:rPr>
          <w:rFonts w:ascii="Verdana" w:hAnsi="Verdana"/>
        </w:rPr>
      </w:pPr>
    </w:p>
    <w:p w:rsidRPr="00BD04F2" w:rsidR="00F75D9D" w:rsidP="002E7C46" w:rsidRDefault="00F75D9D" w14:paraId="38A68AE1" w14:textId="1AF7C9D6">
      <w:pPr>
        <w:pStyle w:val="Titre1"/>
      </w:pPr>
      <w:bookmarkStart w:name="_Toc127619215" w:id="1"/>
      <w:r w:rsidRPr="00BD04F2">
        <w:t>Sources / bref rappel historique</w:t>
      </w:r>
      <w:bookmarkEnd w:id="1"/>
    </w:p>
    <w:p w:rsidRPr="00BD04F2" w:rsidR="0008315C" w:rsidP="002072E1" w:rsidRDefault="00E841B6" w14:paraId="682AB9B8" w14:textId="77777777">
      <w:pPr>
        <w:pStyle w:val="Paragraphedeliste"/>
        <w:numPr>
          <w:ilvl w:val="0"/>
          <w:numId w:val="37"/>
        </w:numPr>
        <w:spacing w:before="120" w:after="120" w:line="276" w:lineRule="auto"/>
        <w:jc w:val="both"/>
        <w:rPr>
          <w:rFonts w:ascii="Verdana" w:hAnsi="Verdana"/>
          <w:szCs w:val="20"/>
          <w:lang w:val="fr-CH"/>
        </w:rPr>
      </w:pPr>
      <w:r w:rsidRPr="00BD04F2">
        <w:rPr>
          <w:rFonts w:ascii="Verdana" w:hAnsi="Verdana"/>
          <w:b/>
          <w:szCs w:val="20"/>
          <w:lang w:val="fr-CH"/>
        </w:rPr>
        <w:t>Droit des patients</w:t>
      </w:r>
      <w:r w:rsidRPr="00BD04F2">
        <w:rPr>
          <w:rFonts w:ascii="Verdana" w:hAnsi="Verdana"/>
          <w:szCs w:val="20"/>
          <w:lang w:val="fr-CH"/>
        </w:rPr>
        <w:t xml:space="preserve"> : </w:t>
      </w:r>
      <w:r w:rsidRPr="00BD04F2" w:rsidR="0008315C">
        <w:rPr>
          <w:rFonts w:ascii="Verdana" w:hAnsi="Verdana"/>
          <w:szCs w:val="20"/>
          <w:lang w:val="fr-CH"/>
        </w:rPr>
        <w:t>l</w:t>
      </w:r>
      <w:r w:rsidRPr="00BD04F2" w:rsidR="008F7F49">
        <w:rPr>
          <w:rFonts w:ascii="Verdana" w:hAnsi="Verdana"/>
          <w:szCs w:val="20"/>
          <w:lang w:val="fr-CH"/>
        </w:rPr>
        <w:t>es</w:t>
      </w:r>
      <w:r w:rsidRPr="00BD04F2" w:rsidR="003046DC">
        <w:rPr>
          <w:rFonts w:ascii="Verdana" w:hAnsi="Verdana"/>
          <w:szCs w:val="20"/>
          <w:lang w:val="fr-CH"/>
        </w:rPr>
        <w:t xml:space="preserve"> source</w:t>
      </w:r>
      <w:r w:rsidRPr="00BD04F2" w:rsidR="008F7F49">
        <w:rPr>
          <w:rFonts w:ascii="Verdana" w:hAnsi="Verdana"/>
          <w:szCs w:val="20"/>
          <w:lang w:val="fr-CH"/>
        </w:rPr>
        <w:t>s</w:t>
      </w:r>
      <w:r w:rsidRPr="00BD04F2" w:rsidR="003046DC">
        <w:rPr>
          <w:rFonts w:ascii="Verdana" w:hAnsi="Verdana"/>
          <w:szCs w:val="20"/>
          <w:lang w:val="fr-CH"/>
        </w:rPr>
        <w:t xml:space="preserve"> du consentement éclairé du patient s’inscri</w:t>
      </w:r>
      <w:r w:rsidRPr="00BD04F2" w:rsidR="008F7F49">
        <w:rPr>
          <w:rFonts w:ascii="Verdana" w:hAnsi="Verdana"/>
          <w:szCs w:val="20"/>
          <w:lang w:val="fr-CH"/>
        </w:rPr>
        <w:t>ven</w:t>
      </w:r>
      <w:r w:rsidRPr="00BD04F2" w:rsidR="003046DC">
        <w:rPr>
          <w:rFonts w:ascii="Verdana" w:hAnsi="Verdana"/>
          <w:szCs w:val="20"/>
          <w:lang w:val="fr-CH"/>
        </w:rPr>
        <w:t>t dans un thème plus large qui est celui des droits des patients.</w:t>
      </w:r>
      <w:r w:rsidRPr="00BD04F2">
        <w:rPr>
          <w:rFonts w:ascii="Verdana" w:hAnsi="Verdana"/>
          <w:szCs w:val="20"/>
          <w:lang w:val="fr-CH"/>
        </w:rPr>
        <w:t xml:space="preserve"> </w:t>
      </w:r>
      <w:bookmarkStart w:name="_Hlk60209158" w:id="2"/>
    </w:p>
    <w:p w:rsidRPr="00BD04F2" w:rsidR="00E841B6" w:rsidP="002072E1" w:rsidRDefault="003046DC" w14:paraId="57E9BB1C" w14:textId="77777777">
      <w:pPr>
        <w:pStyle w:val="Paragraphedeliste"/>
        <w:spacing w:before="120" w:after="120" w:line="276" w:lineRule="auto"/>
        <w:ind w:left="360"/>
        <w:jc w:val="both"/>
        <w:rPr>
          <w:rFonts w:ascii="Verdana" w:hAnsi="Verdana"/>
          <w:szCs w:val="20"/>
          <w:lang w:val="fr-CH"/>
        </w:rPr>
      </w:pPr>
      <w:r w:rsidRPr="00BD04F2">
        <w:rPr>
          <w:rFonts w:ascii="Verdana" w:hAnsi="Verdana"/>
          <w:szCs w:val="20"/>
          <w:lang w:val="fr-CH"/>
        </w:rPr>
        <w:t>Le concept de droit des patients est apparu en droit suisse vers la fin des années 1970. Cette consécration formelle a plusieurs sources :</w:t>
      </w:r>
    </w:p>
    <w:p w:rsidRPr="00BD04F2" w:rsidR="00E841B6" w:rsidP="002072E1" w:rsidRDefault="0001789F" w14:paraId="3CBC0E1E" w14:textId="7B8E7C09">
      <w:pPr>
        <w:pStyle w:val="Paragraphedeliste"/>
        <w:numPr>
          <w:ilvl w:val="1"/>
          <w:numId w:val="37"/>
        </w:numPr>
        <w:spacing w:before="120" w:after="120" w:line="276" w:lineRule="auto"/>
        <w:jc w:val="both"/>
        <w:rPr>
          <w:rFonts w:ascii="Verdana" w:hAnsi="Verdana"/>
          <w:szCs w:val="20"/>
          <w:lang w:val="fr-CH"/>
        </w:rPr>
      </w:pPr>
      <w:r w:rsidRPr="00BD04F2">
        <w:rPr>
          <w:rFonts w:ascii="Verdana" w:hAnsi="Verdana"/>
          <w:szCs w:val="20"/>
          <w:lang w:val="fr-CH"/>
        </w:rPr>
        <w:t>L</w:t>
      </w:r>
      <w:r w:rsidRPr="00BD04F2" w:rsidR="003046DC">
        <w:rPr>
          <w:rFonts w:ascii="Verdana" w:hAnsi="Verdana"/>
          <w:szCs w:val="20"/>
          <w:lang w:val="fr-CH"/>
        </w:rPr>
        <w:t>es abus de la corporation médicale qui ne tenait pas/ou peu com</w:t>
      </w:r>
      <w:bookmarkStart w:name="_GoBack" w:id="3"/>
      <w:bookmarkEnd w:id="3"/>
      <w:r w:rsidRPr="00BD04F2" w:rsidR="003046DC">
        <w:rPr>
          <w:rFonts w:ascii="Verdana" w:hAnsi="Verdana"/>
          <w:szCs w:val="20"/>
          <w:lang w:val="fr-CH"/>
        </w:rPr>
        <w:t>pte de la volonté du patient et la tendance à voir émerger une médecine toute-puissante,</w:t>
      </w:r>
    </w:p>
    <w:p w:rsidRPr="00BD04F2" w:rsidR="00E841B6" w:rsidP="002072E1" w:rsidRDefault="0001789F" w14:paraId="157672C9" w14:textId="49D9BA90">
      <w:pPr>
        <w:pStyle w:val="Paragraphedeliste"/>
        <w:numPr>
          <w:ilvl w:val="1"/>
          <w:numId w:val="37"/>
        </w:numPr>
        <w:spacing w:before="120" w:after="120" w:line="276" w:lineRule="auto"/>
        <w:jc w:val="both"/>
        <w:rPr>
          <w:rFonts w:ascii="Verdana" w:hAnsi="Verdana"/>
          <w:szCs w:val="20"/>
          <w:lang w:val="fr-CH"/>
        </w:rPr>
      </w:pPr>
      <w:r w:rsidRPr="00BD04F2">
        <w:rPr>
          <w:rFonts w:ascii="Verdana" w:hAnsi="Verdana"/>
          <w:szCs w:val="20"/>
          <w:lang w:val="fr-CH"/>
        </w:rPr>
        <w:t>L</w:t>
      </w:r>
      <w:r w:rsidRPr="00BD04F2" w:rsidR="003046DC">
        <w:rPr>
          <w:rFonts w:ascii="Verdana" w:hAnsi="Verdana"/>
          <w:szCs w:val="20"/>
          <w:lang w:val="fr-CH"/>
        </w:rPr>
        <w:t>a tendance vers une science « mécaniste », où le patient devient un objet qui peut perdre la maîtrise de son corps, de sa santé</w:t>
      </w:r>
    </w:p>
    <w:p w:rsidRPr="00BD04F2" w:rsidR="003046DC" w:rsidP="002072E1" w:rsidRDefault="0001789F" w14:paraId="7C1E5358" w14:textId="126752C4">
      <w:pPr>
        <w:pStyle w:val="Paragraphedeliste"/>
        <w:numPr>
          <w:ilvl w:val="1"/>
          <w:numId w:val="37"/>
        </w:numPr>
        <w:spacing w:before="120" w:after="120" w:line="276" w:lineRule="auto"/>
        <w:jc w:val="both"/>
        <w:rPr>
          <w:rFonts w:ascii="Verdana" w:hAnsi="Verdana"/>
          <w:szCs w:val="20"/>
          <w:lang w:val="fr-CH"/>
        </w:rPr>
      </w:pPr>
      <w:r w:rsidRPr="00BD04F2">
        <w:rPr>
          <w:rFonts w:ascii="Verdana" w:hAnsi="Verdana"/>
          <w:szCs w:val="20"/>
          <w:lang w:val="fr-CH"/>
        </w:rPr>
        <w:t>L</w:t>
      </w:r>
      <w:r w:rsidRPr="00BD04F2" w:rsidR="003046DC">
        <w:rPr>
          <w:rFonts w:ascii="Verdana" w:hAnsi="Verdana"/>
          <w:szCs w:val="20"/>
          <w:lang w:val="fr-CH"/>
        </w:rPr>
        <w:t>’émergence du droit à l’autodétermination.</w:t>
      </w:r>
    </w:p>
    <w:p w:rsidRPr="00BD04F2" w:rsidR="004405E4" w:rsidP="002072E1" w:rsidRDefault="004405E4" w14:paraId="1BE0F852" w14:textId="2015E2F3">
      <w:pPr>
        <w:pStyle w:val="Flietext"/>
        <w:numPr>
          <w:ilvl w:val="0"/>
          <w:numId w:val="35"/>
        </w:numPr>
        <w:spacing w:before="120" w:after="120" w:line="276" w:lineRule="auto"/>
        <w:jc w:val="both"/>
        <w:rPr>
          <w:rFonts w:ascii="Verdana" w:hAnsi="Verdana"/>
          <w:szCs w:val="20"/>
          <w:lang w:val="fr-CH"/>
        </w:rPr>
      </w:pPr>
      <w:bookmarkStart w:name="_Toc60208429" w:id="4"/>
      <w:r w:rsidRPr="00BD04F2">
        <w:rPr>
          <w:rFonts w:ascii="Verdana" w:hAnsi="Verdana"/>
          <w:b/>
          <w:szCs w:val="20"/>
          <w:lang w:val="fr-CH"/>
        </w:rPr>
        <w:t>Origines antiques : médecine hippocratique</w:t>
      </w:r>
      <w:bookmarkEnd w:id="4"/>
      <w:r w:rsidRPr="00BD04F2">
        <w:rPr>
          <w:rFonts w:ascii="Verdana" w:hAnsi="Verdana"/>
          <w:szCs w:val="20"/>
          <w:lang w:val="fr-CH"/>
        </w:rPr>
        <w:t xml:space="preserve"> : </w:t>
      </w:r>
      <w:r w:rsidRPr="00BD04F2" w:rsidR="0001789F">
        <w:rPr>
          <w:rFonts w:ascii="Verdana" w:hAnsi="Verdana"/>
          <w:szCs w:val="20"/>
          <w:lang w:val="fr-CH"/>
        </w:rPr>
        <w:t xml:space="preserve">l’originalité </w:t>
      </w:r>
      <w:r w:rsidRPr="00BD04F2">
        <w:rPr>
          <w:rFonts w:ascii="Verdana" w:hAnsi="Verdana"/>
          <w:szCs w:val="20"/>
          <w:lang w:val="fr-CH"/>
        </w:rPr>
        <w:t xml:space="preserve">de la parole hippocratique est d’engager un dialogue avec le malade, de l’interroger et de l’écouter. Les réponses du malade, si le médecin est à même de les interpréter correctement, favorisent la justesse du diagnostic et du pronostic, aident à s’assurer de l’application correcte d’un traitement. Cette médecine est </w:t>
      </w:r>
      <w:r w:rsidRPr="00BD04F2">
        <w:rPr>
          <w:rFonts w:ascii="Verdana" w:hAnsi="Verdana"/>
          <w:b/>
          <w:szCs w:val="20"/>
          <w:lang w:val="fr-CH"/>
        </w:rPr>
        <w:t>contextuelle</w:t>
      </w:r>
      <w:r w:rsidRPr="00BD04F2">
        <w:rPr>
          <w:rFonts w:ascii="Verdana" w:hAnsi="Verdana"/>
          <w:szCs w:val="20"/>
          <w:lang w:val="fr-CH"/>
        </w:rPr>
        <w:t xml:space="preserve">. On n’est pas dans quelque chose de foncièrement technique, anatomique. Ce </w:t>
      </w:r>
      <w:r w:rsidRPr="00BD04F2" w:rsidR="00DD700B">
        <w:rPr>
          <w:rFonts w:ascii="Verdana" w:hAnsi="Verdana"/>
          <w:szCs w:val="20"/>
          <w:lang w:val="fr-CH"/>
        </w:rPr>
        <w:t>ne sont</w:t>
      </w:r>
      <w:r w:rsidRPr="00BD04F2">
        <w:rPr>
          <w:rFonts w:ascii="Verdana" w:hAnsi="Verdana"/>
          <w:szCs w:val="20"/>
          <w:lang w:val="fr-CH"/>
        </w:rPr>
        <w:t xml:space="preserve"> pas des formules, des procédures. C’est une science humaine, qui met le contexte autour d’elle.</w:t>
      </w:r>
    </w:p>
    <w:p w:rsidRPr="00BD04F2" w:rsidR="004405E4" w:rsidP="002072E1" w:rsidRDefault="004405E4" w14:paraId="2AA1CCD1" w14:textId="1B4216D4">
      <w:pPr>
        <w:pStyle w:val="Flietext"/>
        <w:numPr>
          <w:ilvl w:val="0"/>
          <w:numId w:val="35"/>
        </w:numPr>
        <w:spacing w:before="120" w:after="120" w:line="276" w:lineRule="auto"/>
        <w:jc w:val="both"/>
        <w:rPr>
          <w:rFonts w:ascii="Verdana" w:hAnsi="Verdana"/>
          <w:szCs w:val="20"/>
          <w:lang w:val="fr-CH"/>
        </w:rPr>
      </w:pPr>
      <w:bookmarkStart w:name="_Toc60208430" w:id="5"/>
      <w:r w:rsidRPr="00BD04F2">
        <w:rPr>
          <w:rFonts w:ascii="Verdana" w:hAnsi="Verdana"/>
          <w:b/>
          <w:szCs w:val="20"/>
          <w:lang w:val="fr-CH"/>
        </w:rPr>
        <w:t xml:space="preserve">Un texte symbolique : </w:t>
      </w:r>
      <w:hyperlink w:history="1" r:id="rId11">
        <w:r w:rsidRPr="00BD04F2">
          <w:rPr>
            <w:rStyle w:val="Lienhypertexte"/>
            <w:rFonts w:ascii="Verdana" w:hAnsi="Verdana"/>
            <w:b/>
            <w:szCs w:val="20"/>
            <w:lang w:val="fr-CH"/>
          </w:rPr>
          <w:t>le Code de Nuremberg</w:t>
        </w:r>
        <w:bookmarkEnd w:id="5"/>
        <w:r w:rsidRPr="00BD04F2">
          <w:rPr>
            <w:rStyle w:val="Lienhypertexte"/>
            <w:rFonts w:ascii="Verdana" w:hAnsi="Verdana"/>
            <w:szCs w:val="20"/>
            <w:lang w:val="fr-CH"/>
          </w:rPr>
          <w:t> </w:t>
        </w:r>
      </w:hyperlink>
      <w:r w:rsidRPr="00BD04F2">
        <w:rPr>
          <w:rFonts w:ascii="Verdana" w:hAnsi="Verdana"/>
          <w:szCs w:val="20"/>
          <w:lang w:val="fr-CH"/>
        </w:rPr>
        <w:t xml:space="preserve">: La notion juridique de consentement libre et éclairé ne s’est développée dans les pays occidentaux qu’à partir de la seconde moitié du </w:t>
      </w:r>
      <w:r w:rsidRPr="00BD04F2" w:rsidR="000034E5">
        <w:rPr>
          <w:rFonts w:ascii="Verdana" w:hAnsi="Verdana"/>
          <w:szCs w:val="20"/>
          <w:lang w:val="fr-CH"/>
        </w:rPr>
        <w:t>XXème</w:t>
      </w:r>
      <w:r w:rsidRPr="00BD04F2" w:rsidR="0001789F">
        <w:rPr>
          <w:rFonts w:ascii="Verdana" w:hAnsi="Verdana"/>
          <w:szCs w:val="20"/>
          <w:lang w:val="fr-CH"/>
        </w:rPr>
        <w:t xml:space="preserve"> </w:t>
      </w:r>
      <w:r w:rsidRPr="00BD04F2">
        <w:rPr>
          <w:rFonts w:ascii="Verdana" w:hAnsi="Verdana"/>
          <w:szCs w:val="20"/>
          <w:lang w:val="fr-CH"/>
        </w:rPr>
        <w:t xml:space="preserve">siècle. En 1947, le tribunal qui condamna les médecins nazis affirma dans son jugement une liste de dix principes essentiels devant gouverner toute recherche médicale avec des êtres humains, connue sous le nom de « Code de Nuremberg ». </w:t>
      </w:r>
      <w:r w:rsidRPr="00BD04F2" w:rsidR="00404E72">
        <w:rPr>
          <w:rFonts w:ascii="Verdana" w:hAnsi="Verdana"/>
          <w:szCs w:val="20"/>
          <w:lang w:val="fr-CH"/>
        </w:rPr>
        <w:t>L</w:t>
      </w:r>
      <w:r w:rsidRPr="00BD04F2">
        <w:rPr>
          <w:rFonts w:ascii="Verdana" w:hAnsi="Verdana"/>
          <w:szCs w:val="20"/>
          <w:lang w:val="fr-CH"/>
        </w:rPr>
        <w:t>e 1</w:t>
      </w:r>
      <w:r w:rsidRPr="00BD04F2">
        <w:rPr>
          <w:rFonts w:ascii="Verdana" w:hAnsi="Verdana"/>
          <w:szCs w:val="20"/>
          <w:vertAlign w:val="superscript"/>
          <w:lang w:val="fr-CH"/>
        </w:rPr>
        <w:t>er</w:t>
      </w:r>
      <w:r w:rsidRPr="00BD04F2">
        <w:rPr>
          <w:rFonts w:ascii="Verdana" w:hAnsi="Verdana"/>
          <w:szCs w:val="20"/>
          <w:lang w:val="fr-CH"/>
        </w:rPr>
        <w:t xml:space="preserve"> principe dispose que « le consentement volontaire du sujet humain est absolument essentiel. »</w:t>
      </w:r>
    </w:p>
    <w:p w:rsidRPr="00BD04F2" w:rsidR="004405E4" w:rsidP="002072E1" w:rsidRDefault="004405E4" w14:paraId="2842E721" w14:textId="77777777">
      <w:pPr>
        <w:pStyle w:val="Flietext"/>
        <w:numPr>
          <w:ilvl w:val="0"/>
          <w:numId w:val="35"/>
        </w:numPr>
        <w:spacing w:before="120" w:after="120" w:line="276" w:lineRule="auto"/>
        <w:jc w:val="both"/>
        <w:rPr>
          <w:rFonts w:ascii="Verdana" w:hAnsi="Verdana"/>
          <w:szCs w:val="20"/>
          <w:lang w:val="fr-CH"/>
        </w:rPr>
      </w:pPr>
      <w:bookmarkStart w:name="_Toc60208431" w:id="6"/>
      <w:r w:rsidRPr="00BD04F2">
        <w:rPr>
          <w:rFonts w:ascii="Verdana" w:hAnsi="Verdana"/>
          <w:b/>
          <w:szCs w:val="20"/>
          <w:lang w:val="fr-CH"/>
        </w:rPr>
        <w:t>Règlement de la FDA en 1962</w:t>
      </w:r>
      <w:bookmarkEnd w:id="6"/>
      <w:r w:rsidRPr="00BD04F2">
        <w:rPr>
          <w:rFonts w:ascii="Verdana" w:hAnsi="Verdana"/>
          <w:szCs w:val="20"/>
          <w:lang w:val="fr-CH"/>
        </w:rPr>
        <w:t xml:space="preserve"> : </w:t>
      </w:r>
      <w:r w:rsidRPr="00BD04F2" w:rsidR="0008315C">
        <w:rPr>
          <w:rFonts w:ascii="Verdana" w:hAnsi="Verdana"/>
          <w:szCs w:val="20"/>
          <w:lang w:val="fr-CH"/>
        </w:rPr>
        <w:t>i</w:t>
      </w:r>
      <w:r w:rsidRPr="00BD04F2">
        <w:rPr>
          <w:rFonts w:ascii="Verdana" w:hAnsi="Verdana"/>
          <w:szCs w:val="20"/>
          <w:lang w:val="fr-CH"/>
        </w:rPr>
        <w:t>l est question ici de la promulgation d’une législation par le Congrès américain à la suite de la tragédie de la thalidomide, un produit qui avait été administré comme médicament et avait causé de nombreuses anomalies congénitales chez les bébés nés en Europe.</w:t>
      </w:r>
    </w:p>
    <w:bookmarkStart w:name="_Toc60208432" w:id="7"/>
    <w:p w:rsidRPr="00BD04F2" w:rsidR="004405E4" w:rsidP="002072E1" w:rsidRDefault="002830F6" w14:paraId="6B0380C9" w14:textId="2B43ABAC">
      <w:pPr>
        <w:pStyle w:val="Flietext"/>
        <w:numPr>
          <w:ilvl w:val="0"/>
          <w:numId w:val="35"/>
        </w:numPr>
        <w:spacing w:before="120" w:after="120" w:line="276" w:lineRule="auto"/>
        <w:jc w:val="both"/>
        <w:rPr>
          <w:rFonts w:ascii="Verdana" w:hAnsi="Verdana"/>
          <w:szCs w:val="20"/>
          <w:lang w:val="fr-CH"/>
        </w:rPr>
      </w:pPr>
      <w:r>
        <w:rPr>
          <w:rStyle w:val="Lienhypertexte"/>
          <w:rFonts w:ascii="Verdana" w:hAnsi="Verdana"/>
          <w:b/>
          <w:szCs w:val="20"/>
          <w:lang w:val="fr-CH"/>
        </w:rPr>
        <w:fldChar w:fldCharType="begin"/>
      </w:r>
      <w:r>
        <w:rPr>
          <w:rStyle w:val="Lienhypertexte"/>
          <w:rFonts w:ascii="Verdana" w:hAnsi="Verdana"/>
          <w:b/>
          <w:szCs w:val="20"/>
          <w:lang w:val="fr-CH"/>
        </w:rPr>
        <w:instrText xml:space="preserve"> HYPERLINK "https://www.wma.net/fr/policies-post/declaration-dhelsinki-de-lamm-principes-ethiques-app</w:instrText>
      </w:r>
      <w:r>
        <w:rPr>
          <w:rStyle w:val="Lienhypertexte"/>
          <w:rFonts w:ascii="Verdana" w:hAnsi="Verdana"/>
          <w:b/>
          <w:szCs w:val="20"/>
          <w:lang w:val="fr-CH"/>
        </w:rPr>
        <w:instrText xml:space="preserve">licables-a-la-recherche-medicale-impliquant-des-etres-humains/" </w:instrText>
      </w:r>
      <w:r>
        <w:rPr>
          <w:rStyle w:val="Lienhypertexte"/>
          <w:rFonts w:ascii="Verdana" w:hAnsi="Verdana"/>
          <w:b/>
          <w:szCs w:val="20"/>
          <w:lang w:val="fr-CH"/>
        </w:rPr>
        <w:fldChar w:fldCharType="separate"/>
      </w:r>
      <w:r w:rsidRPr="00BD04F2" w:rsidR="004405E4">
        <w:rPr>
          <w:rStyle w:val="Lienhypertexte"/>
          <w:rFonts w:ascii="Verdana" w:hAnsi="Verdana"/>
          <w:b/>
          <w:szCs w:val="20"/>
          <w:lang w:val="fr-CH"/>
        </w:rPr>
        <w:t xml:space="preserve">Déclaration d’Helsinki de </w:t>
      </w:r>
      <w:r w:rsidRPr="00BD04F2" w:rsidR="0001789F">
        <w:rPr>
          <w:rStyle w:val="Lienhypertexte"/>
          <w:rFonts w:ascii="Verdana" w:hAnsi="Verdana"/>
          <w:b/>
          <w:szCs w:val="20"/>
          <w:lang w:val="fr-CH"/>
        </w:rPr>
        <w:t xml:space="preserve">l’amm </w:t>
      </w:r>
      <w:r w:rsidRPr="00BD04F2" w:rsidR="004405E4">
        <w:rPr>
          <w:rStyle w:val="Lienhypertexte"/>
          <w:rFonts w:ascii="Verdana" w:hAnsi="Verdana"/>
          <w:b/>
          <w:szCs w:val="20"/>
          <w:lang w:val="fr-CH"/>
        </w:rPr>
        <w:t>en 1964</w:t>
      </w:r>
      <w:bookmarkEnd w:id="7"/>
      <w:r w:rsidRPr="00BD04F2" w:rsidR="004405E4">
        <w:rPr>
          <w:rStyle w:val="Lienhypertexte"/>
          <w:rFonts w:ascii="Verdana" w:hAnsi="Verdana"/>
          <w:szCs w:val="20"/>
          <w:lang w:val="fr-CH"/>
        </w:rPr>
        <w:t> </w:t>
      </w:r>
      <w:r>
        <w:rPr>
          <w:rStyle w:val="Lienhypertexte"/>
          <w:rFonts w:ascii="Verdana" w:hAnsi="Verdana"/>
          <w:szCs w:val="20"/>
          <w:lang w:val="fr-CH"/>
        </w:rPr>
        <w:fldChar w:fldCharType="end"/>
      </w:r>
      <w:r w:rsidRPr="00BD04F2" w:rsidR="004405E4">
        <w:rPr>
          <w:rFonts w:ascii="Verdana" w:hAnsi="Verdana"/>
          <w:szCs w:val="20"/>
          <w:lang w:val="fr-CH"/>
        </w:rPr>
        <w:t xml:space="preserve">: </w:t>
      </w:r>
      <w:r w:rsidRPr="00BD04F2" w:rsidR="0008315C">
        <w:rPr>
          <w:rFonts w:ascii="Verdana" w:hAnsi="Verdana"/>
          <w:szCs w:val="20"/>
          <w:lang w:val="fr-CH"/>
        </w:rPr>
        <w:t>i</w:t>
      </w:r>
      <w:r w:rsidRPr="00BD04F2" w:rsidR="004405E4">
        <w:rPr>
          <w:rFonts w:ascii="Verdana" w:hAnsi="Verdana"/>
          <w:szCs w:val="20"/>
          <w:lang w:val="fr-CH"/>
        </w:rPr>
        <w:t>l s’agit de la déclaration de l’Association Médicale Mondiale, faite à Helsinki, qui régit les principes éthiques applicables à la recherche médicale impliquant des êtres humains.</w:t>
      </w:r>
    </w:p>
    <w:bookmarkStart w:name="_Toc60208433" w:id="8"/>
    <w:p w:rsidRPr="00BD04F2" w:rsidR="004405E4" w:rsidP="002072E1" w:rsidRDefault="002830F6" w14:paraId="79689898" w14:textId="64DA3F24">
      <w:pPr>
        <w:pStyle w:val="Flietext"/>
        <w:numPr>
          <w:ilvl w:val="0"/>
          <w:numId w:val="35"/>
        </w:numPr>
        <w:spacing w:before="120" w:after="120" w:line="276" w:lineRule="auto"/>
        <w:jc w:val="both"/>
        <w:rPr>
          <w:rFonts w:ascii="Verdana" w:hAnsi="Verdana"/>
          <w:szCs w:val="20"/>
          <w:lang w:val="fr-CH"/>
        </w:rPr>
      </w:pPr>
      <w:r>
        <w:rPr>
          <w:rStyle w:val="Lienhypertexte"/>
          <w:rFonts w:ascii="Verdana" w:hAnsi="Verdana"/>
          <w:b/>
          <w:szCs w:val="20"/>
          <w:lang w:val="fr-CH"/>
        </w:rPr>
        <w:fldChar w:fldCharType="begin"/>
      </w:r>
      <w:r>
        <w:rPr>
          <w:rStyle w:val="Lienhypertexte"/>
          <w:rFonts w:ascii="Verdana" w:hAnsi="Verdana"/>
          <w:b/>
          <w:szCs w:val="20"/>
          <w:lang w:val="fr-CH"/>
        </w:rPr>
        <w:instrText xml:space="preserve"> HYPERLINK "https://www.fedlex.admin.ch/eli/oc/2005/452/fr" </w:instrText>
      </w:r>
      <w:r>
        <w:rPr>
          <w:rStyle w:val="Lienhypertexte"/>
          <w:rFonts w:ascii="Verdana" w:hAnsi="Verdana"/>
          <w:b/>
          <w:szCs w:val="20"/>
          <w:lang w:val="fr-CH"/>
        </w:rPr>
        <w:fldChar w:fldCharType="separate"/>
      </w:r>
      <w:r w:rsidRPr="004312DB" w:rsidR="004405E4">
        <w:rPr>
          <w:rStyle w:val="Lienhypertexte"/>
          <w:rFonts w:ascii="Verdana" w:hAnsi="Verdana"/>
          <w:b/>
          <w:szCs w:val="20"/>
          <w:lang w:val="fr-CH"/>
        </w:rPr>
        <w:t>Pacte ONU II</w:t>
      </w:r>
      <w:r>
        <w:rPr>
          <w:rStyle w:val="Lienhypertexte"/>
          <w:rFonts w:ascii="Verdana" w:hAnsi="Verdana"/>
          <w:b/>
          <w:szCs w:val="20"/>
          <w:lang w:val="fr-CH"/>
        </w:rPr>
        <w:fldChar w:fldCharType="end"/>
      </w:r>
      <w:r w:rsidRPr="00BD04F2" w:rsidR="004405E4">
        <w:rPr>
          <w:rFonts w:ascii="Verdana" w:hAnsi="Verdana"/>
          <w:b/>
          <w:szCs w:val="20"/>
          <w:lang w:val="fr-CH"/>
        </w:rPr>
        <w:t xml:space="preserve"> (art. 7)</w:t>
      </w:r>
      <w:bookmarkEnd w:id="8"/>
      <w:r w:rsidRPr="00BD04F2" w:rsidR="004405E4">
        <w:rPr>
          <w:rFonts w:ascii="Verdana" w:hAnsi="Verdana"/>
          <w:szCs w:val="20"/>
          <w:lang w:val="fr-CH"/>
        </w:rPr>
        <w:t> : Nul ne sera soumis à la torture ni à des peines ou traitements cruels, inhumains ou dégradants. En particulier, il est interdit de soumettre une personne sans son libre consentement à une expérience médicale ou scientifique.</w:t>
      </w:r>
    </w:p>
    <w:p w:rsidRPr="00BD04F2" w:rsidR="004405E4" w:rsidP="002072E1" w:rsidRDefault="004405E4" w14:paraId="399ED3B7" w14:textId="09BE5E18">
      <w:pPr>
        <w:pStyle w:val="Flietext"/>
        <w:numPr>
          <w:ilvl w:val="0"/>
          <w:numId w:val="35"/>
        </w:numPr>
        <w:spacing w:before="120" w:after="120" w:line="276" w:lineRule="auto"/>
        <w:jc w:val="both"/>
        <w:rPr>
          <w:rFonts w:ascii="Verdana" w:hAnsi="Verdana" w:cstheme="majorHAnsi"/>
          <w:szCs w:val="20"/>
          <w:lang w:val="fr-CH"/>
        </w:rPr>
      </w:pPr>
      <w:bookmarkStart w:name="_Toc60208435" w:id="9"/>
      <w:r w:rsidRPr="00BD04F2">
        <w:rPr>
          <w:rFonts w:ascii="Verdana" w:hAnsi="Verdana"/>
          <w:b/>
          <w:szCs w:val="20"/>
          <w:lang w:val="fr-CH"/>
        </w:rPr>
        <w:t xml:space="preserve">Convention européenne sur les droits de l’homme et la </w:t>
      </w:r>
      <w:bookmarkEnd w:id="9"/>
      <w:r w:rsidRPr="00BD04F2" w:rsidR="00E841B6">
        <w:rPr>
          <w:rFonts w:ascii="Verdana" w:hAnsi="Verdana"/>
          <w:b/>
          <w:szCs w:val="20"/>
          <w:lang w:val="fr-CH"/>
        </w:rPr>
        <w:t>biomédecine</w:t>
      </w:r>
      <w:r w:rsidRPr="00BD04F2" w:rsidR="00E841B6">
        <w:rPr>
          <w:rFonts w:ascii="Verdana" w:hAnsi="Verdana"/>
          <w:szCs w:val="20"/>
          <w:lang w:val="fr-CH"/>
        </w:rPr>
        <w:t xml:space="preserve"> :</w:t>
      </w:r>
      <w:r w:rsidRPr="00BD04F2" w:rsidR="00AB4471">
        <w:rPr>
          <w:rFonts w:ascii="Verdana" w:hAnsi="Verdana"/>
          <w:szCs w:val="20"/>
          <w:lang w:val="fr-CH"/>
        </w:rPr>
        <w:t xml:space="preserve"> </w:t>
      </w:r>
      <w:r w:rsidRPr="00BD04F2">
        <w:rPr>
          <w:rFonts w:ascii="Verdana" w:hAnsi="Verdana" w:cstheme="majorHAnsi"/>
          <w:szCs w:val="20"/>
          <w:lang w:val="fr-CH"/>
        </w:rPr>
        <w:t>Cette convention a été conclue à Oviedo le 4 avril 1997 (</w:t>
      </w:r>
      <w:hyperlink w:history="1" r:id="rId12">
        <w:r w:rsidRPr="00BD04F2">
          <w:rPr>
            <w:rStyle w:val="Lienhypertexte"/>
            <w:rFonts w:ascii="Verdana" w:hAnsi="Verdana" w:cstheme="majorHAnsi"/>
            <w:szCs w:val="20"/>
            <w:lang w:val="fr-CH"/>
          </w:rPr>
          <w:t>RS 0.810.2</w:t>
        </w:r>
      </w:hyperlink>
      <w:r w:rsidRPr="00BD04F2">
        <w:rPr>
          <w:rFonts w:ascii="Verdana" w:hAnsi="Verdana" w:cstheme="majorHAnsi"/>
          <w:szCs w:val="20"/>
          <w:lang w:val="fr-CH"/>
        </w:rPr>
        <w:t xml:space="preserve">). Selon les termes de son </w:t>
      </w:r>
      <w:hyperlink w:history="1" w:anchor="art_5" r:id="rId13">
        <w:r w:rsidRPr="00BD04F2">
          <w:rPr>
            <w:rStyle w:val="Lienhypertexte"/>
            <w:rFonts w:ascii="Verdana" w:hAnsi="Verdana" w:cstheme="majorHAnsi"/>
            <w:b/>
            <w:szCs w:val="20"/>
            <w:lang w:val="fr-CH"/>
          </w:rPr>
          <w:t>article 5</w:t>
        </w:r>
      </w:hyperlink>
      <w:r w:rsidRPr="00BD04F2">
        <w:rPr>
          <w:rFonts w:ascii="Verdana" w:hAnsi="Verdana" w:cstheme="majorHAnsi"/>
          <w:szCs w:val="20"/>
          <w:lang w:val="fr-CH"/>
        </w:rPr>
        <w:t>, une intervention dans le domaine de la santé ne peut être effectuée qu’après que la personne concernée y a donné son consentement libre et éclairé. Cette personne reçoit préalablement une information adéquate quant au but et à la nature de l’intervention ainsi que quant à ses conséquences et ses risques. La personne concernée peut, à tout moment, librement retirer son consentement.</w:t>
      </w:r>
    </w:p>
    <w:p w:rsidRPr="00BD04F2" w:rsidR="00AB4471" w:rsidP="002072E1" w:rsidRDefault="00AB4471" w14:paraId="1D2CDA5D" w14:textId="77777777">
      <w:pPr>
        <w:pStyle w:val="Paragraphedeliste"/>
        <w:spacing w:before="120" w:after="120" w:line="276" w:lineRule="auto"/>
        <w:jc w:val="both"/>
        <w:rPr>
          <w:rFonts w:ascii="Verdana" w:hAnsi="Verdana"/>
          <w:szCs w:val="20"/>
          <w:lang w:val="fr-CH"/>
        </w:rPr>
      </w:pPr>
      <w:bookmarkStart w:name="_Toc60208436" w:id="10"/>
    </w:p>
    <w:p w:rsidRPr="00BD04F2" w:rsidR="0005206D" w:rsidP="19DA6D87" w:rsidRDefault="004405E4" w14:paraId="5CC1F52E" w14:textId="5520A53B">
      <w:pPr>
        <w:pStyle w:val="Flietext"/>
        <w:numPr>
          <w:ilvl w:val="0"/>
          <w:numId w:val="35"/>
        </w:numPr>
        <w:spacing w:before="120" w:after="120" w:line="276" w:lineRule="auto"/>
        <w:jc w:val="both"/>
        <w:rPr>
          <w:rFonts w:ascii="Verdana" w:hAnsi="Verdana" w:cs="Arial" w:cstheme="majorAscii"/>
          <w:i w:val="1"/>
          <w:iCs w:val="1"/>
          <w:lang w:val="de-DE"/>
        </w:rPr>
      </w:pPr>
      <w:r w:rsidRPr="19DA6D87">
        <w:rPr>
          <w:rFonts w:ascii="Verdana" w:hAnsi="Verdana"/>
          <w:b w:val="1"/>
          <w:bCs w:val="1"/>
          <w:lang w:val="de-DE"/>
        </w:rPr>
        <w:t>Jurisprudence de la CEDH (</w:t>
      </w:r>
      <w:hyperlink w:history="1" r:id="R519655f8936747c4">
        <w:r w:rsidRPr="19DA6D87">
          <w:rPr>
            <w:rStyle w:val="Lienhypertexte"/>
            <w:rFonts w:ascii="Verdana" w:hAnsi="Verdana"/>
            <w:b w:val="1"/>
            <w:bCs w:val="1"/>
            <w:lang w:val="de-DE"/>
          </w:rPr>
          <w:t>arrêt Glass v. UK en 2004</w:t>
        </w:r>
      </w:hyperlink>
      <w:r w:rsidRPr="19DA6D87" w:rsidR="00882BFF">
        <w:rPr>
          <w:rStyle w:val="Appelnotedebasdep"/>
          <w:rFonts w:ascii="Verdana" w:hAnsi="Verdana"/>
          <w:b w:val="1"/>
          <w:bCs w:val="1"/>
          <w:lang w:val="de-DE"/>
        </w:rPr>
        <w:footnoteReference w:id="1"/>
      </w:r>
      <w:r w:rsidRPr="19DA6D87">
        <w:rPr>
          <w:rFonts w:ascii="Verdana" w:hAnsi="Verdana"/>
          <w:b w:val="1"/>
          <w:bCs w:val="1"/>
          <w:lang w:val="de-DE"/>
        </w:rPr>
        <w:t>)</w:t>
      </w:r>
      <w:bookmarkEnd w:id="10"/>
      <w:r w:rsidRPr="19DA6D87" w:rsidR="00AB4471">
        <w:rPr>
          <w:rFonts w:ascii="Verdana" w:hAnsi="Verdana"/>
          <w:b w:val="1"/>
          <w:bCs w:val="1"/>
          <w:lang w:val="de-DE"/>
        </w:rPr>
        <w:t> </w:t>
      </w:r>
      <w:r w:rsidRPr="19DA6D87" w:rsidR="00AB4471">
        <w:rPr>
          <w:rFonts w:ascii="Verdana" w:hAnsi="Verdana"/>
          <w:lang w:val="de-DE"/>
        </w:rPr>
        <w:t>:</w:t>
      </w:r>
      <w:r w:rsidRPr="19DA6D87" w:rsidR="0005206D">
        <w:rPr>
          <w:rFonts w:ascii="Verdana" w:hAnsi="Verdana"/>
          <w:lang w:val="de-DE"/>
        </w:rPr>
        <w:t xml:space="preserve"> de l’art. 8 CEDH garantissant le droit à la vie privée et familiale, la Cour européenne des droits de l’homme a déduit l’exigence, pour un professionnel de la santé, de recueillir le consentement éclairé du patient avant toute intervention médicale</w:t>
      </w:r>
      <w:r w:rsidRPr="19DA6D87" w:rsidR="00E841B6">
        <w:rPr>
          <w:rFonts w:ascii="Verdana" w:hAnsi="Verdana"/>
          <w:lang w:val="de-DE"/>
        </w:rPr>
        <w:t>.</w:t>
      </w:r>
    </w:p>
    <w:p w:rsidRPr="00BD04F2" w:rsidR="00F75D9D" w:rsidP="002E7C46" w:rsidRDefault="00F75D9D" w14:paraId="70E7C296" w14:textId="77777777">
      <w:pPr>
        <w:pStyle w:val="Titre1"/>
      </w:pPr>
      <w:bookmarkStart w:name="_Toc127619216" w:id="11"/>
      <w:bookmarkEnd w:id="2"/>
      <w:r w:rsidRPr="00BD04F2">
        <w:t>Siège de la matière / fondements juridiques</w:t>
      </w:r>
      <w:bookmarkEnd w:id="11"/>
    </w:p>
    <w:p w:rsidRPr="00BD04F2" w:rsidR="008F7F49" w:rsidP="00930620" w:rsidRDefault="008F7F49" w14:paraId="0620EE41" w14:textId="13D2B5EC">
      <w:pPr>
        <w:spacing w:before="120" w:after="120" w:line="276" w:lineRule="auto"/>
        <w:jc w:val="both"/>
        <w:rPr>
          <w:rFonts w:ascii="Verdana" w:hAnsi="Verdana"/>
          <w:szCs w:val="20"/>
          <w:lang w:val="fr-CH"/>
        </w:rPr>
      </w:pPr>
      <w:r w:rsidRPr="00BD04F2">
        <w:rPr>
          <w:rFonts w:ascii="Verdana" w:hAnsi="Verdana"/>
          <w:szCs w:val="20"/>
          <w:lang w:val="fr-CH"/>
        </w:rPr>
        <w:t xml:space="preserve">On peut distinguer </w:t>
      </w:r>
      <w:r w:rsidRPr="00BD04F2" w:rsidR="002830F6">
        <w:rPr>
          <w:rFonts w:ascii="Verdana" w:hAnsi="Verdana"/>
          <w:szCs w:val="20"/>
          <w:lang w:val="fr-CH"/>
        </w:rPr>
        <w:t>des fondements juridiques et déontologiques</w:t>
      </w:r>
      <w:r w:rsidRPr="00BD04F2" w:rsidR="00E841B6">
        <w:rPr>
          <w:rFonts w:ascii="Verdana" w:hAnsi="Verdana"/>
          <w:szCs w:val="20"/>
          <w:lang w:val="fr-CH"/>
        </w:rPr>
        <w:t> :</w:t>
      </w:r>
    </w:p>
    <w:p w:rsidRPr="00BD04F2" w:rsidR="008F7F49" w:rsidP="00C102D2" w:rsidRDefault="008F7F49" w14:paraId="3860ED89" w14:textId="77777777">
      <w:pPr>
        <w:pStyle w:val="Titre2"/>
      </w:pPr>
      <w:bookmarkStart w:name="_Toc127619217" w:id="12"/>
      <w:r w:rsidRPr="00BD04F2">
        <w:t>Fondements juridiques</w:t>
      </w:r>
      <w:bookmarkEnd w:id="12"/>
    </w:p>
    <w:p w:rsidRPr="00BD04F2" w:rsidR="00B3650A" w:rsidP="00930620" w:rsidRDefault="008F7F49" w14:paraId="798563E7" w14:textId="77777777">
      <w:pPr>
        <w:pStyle w:val="Paragraphedeliste"/>
        <w:numPr>
          <w:ilvl w:val="0"/>
          <w:numId w:val="30"/>
        </w:numPr>
        <w:spacing w:before="120" w:after="120" w:line="276" w:lineRule="auto"/>
        <w:jc w:val="both"/>
        <w:rPr>
          <w:rFonts w:ascii="Verdana" w:hAnsi="Verdana"/>
          <w:szCs w:val="20"/>
          <w:lang w:val="fr-CH"/>
        </w:rPr>
      </w:pPr>
      <w:r w:rsidRPr="00BD04F2">
        <w:rPr>
          <w:rFonts w:ascii="Verdana" w:hAnsi="Verdana"/>
          <w:szCs w:val="20"/>
          <w:lang w:val="fr-CH"/>
        </w:rPr>
        <w:t xml:space="preserve">Le contrat entre le médecin et son patient : il s’agit des </w:t>
      </w:r>
    </w:p>
    <w:p w:rsidRPr="00BD04F2" w:rsidR="00B3650A" w:rsidP="00930620" w:rsidRDefault="00B3650A" w14:paraId="0D568B88" w14:textId="26297653">
      <w:pPr>
        <w:pStyle w:val="Paragraphedeliste"/>
        <w:numPr>
          <w:ilvl w:val="1"/>
          <w:numId w:val="30"/>
        </w:numPr>
        <w:spacing w:before="120" w:after="120" w:line="276" w:lineRule="auto"/>
        <w:jc w:val="both"/>
        <w:rPr>
          <w:rFonts w:ascii="Verdana" w:hAnsi="Verdana"/>
          <w:szCs w:val="20"/>
          <w:lang w:val="fr-CH"/>
        </w:rPr>
      </w:pPr>
      <w:r w:rsidRPr="00BD04F2">
        <w:rPr>
          <w:rFonts w:ascii="Verdana" w:hAnsi="Verdana"/>
          <w:szCs w:val="20"/>
          <w:lang w:val="fr-CH"/>
        </w:rPr>
        <w:t xml:space="preserve">Art. </w:t>
      </w:r>
      <w:hyperlink w:history="1" w:anchor="art_394" r:id="rId15">
        <w:r w:rsidRPr="00BD04F2" w:rsidR="008F7F49">
          <w:rPr>
            <w:rStyle w:val="Lienhypertexte"/>
            <w:rFonts w:ascii="Verdana" w:hAnsi="Verdana"/>
            <w:szCs w:val="20"/>
            <w:lang w:val="fr-CH"/>
          </w:rPr>
          <w:t xml:space="preserve">394ss </w:t>
        </w:r>
        <w:r w:rsidRPr="00BD04F2">
          <w:rPr>
            <w:rStyle w:val="Lienhypertexte"/>
            <w:rFonts w:ascii="Verdana" w:hAnsi="Verdana"/>
            <w:szCs w:val="20"/>
            <w:lang w:val="fr-CH"/>
          </w:rPr>
          <w:t>CO</w:t>
        </w:r>
      </w:hyperlink>
      <w:r w:rsidRPr="00BD04F2">
        <w:rPr>
          <w:rFonts w:ascii="Verdana" w:hAnsi="Verdana"/>
          <w:szCs w:val="20"/>
          <w:lang w:val="fr-CH"/>
        </w:rPr>
        <w:t xml:space="preserve"> pour le </w:t>
      </w:r>
      <w:r w:rsidRPr="00BD04F2" w:rsidR="008F7F49">
        <w:rPr>
          <w:rFonts w:ascii="Verdana" w:hAnsi="Verdana"/>
          <w:b/>
          <w:szCs w:val="20"/>
          <w:lang w:val="fr-CH"/>
        </w:rPr>
        <w:t>contrat de mandat</w:t>
      </w:r>
      <w:r w:rsidRPr="00BD04F2">
        <w:rPr>
          <w:rStyle w:val="Appelnotedebasdep"/>
          <w:rFonts w:ascii="Verdana" w:hAnsi="Verdana"/>
          <w:b/>
          <w:szCs w:val="20"/>
          <w:lang w:val="fr-CH"/>
        </w:rPr>
        <w:footnoteReference w:id="2"/>
      </w:r>
      <w:r w:rsidRPr="00BD04F2" w:rsidR="008F7F49">
        <w:rPr>
          <w:rFonts w:ascii="Verdana" w:hAnsi="Verdana"/>
          <w:szCs w:val="20"/>
          <w:lang w:val="fr-CH"/>
        </w:rPr>
        <w:t xml:space="preserve">), </w:t>
      </w:r>
      <w:r w:rsidRPr="00BD04F2" w:rsidR="0005206D">
        <w:rPr>
          <w:rFonts w:ascii="Verdana" w:hAnsi="Verdana"/>
          <w:szCs w:val="20"/>
          <w:lang w:val="fr-CH"/>
        </w:rPr>
        <w:t xml:space="preserve">qui impose au soignant en sa qualité de mandataire une obligation de diligence, </w:t>
      </w:r>
      <w:r w:rsidRPr="00BD04F2" w:rsidR="008F7F49">
        <w:rPr>
          <w:rFonts w:ascii="Verdana" w:hAnsi="Verdana"/>
          <w:szCs w:val="20"/>
          <w:lang w:val="fr-CH"/>
        </w:rPr>
        <w:t xml:space="preserve">et des </w:t>
      </w:r>
    </w:p>
    <w:p w:rsidRPr="00BD04F2" w:rsidR="008F7F49" w:rsidP="00930620" w:rsidRDefault="00B3650A" w14:paraId="74D67314" w14:textId="1E85946E">
      <w:pPr>
        <w:pStyle w:val="Paragraphedeliste"/>
        <w:numPr>
          <w:ilvl w:val="1"/>
          <w:numId w:val="30"/>
        </w:numPr>
        <w:spacing w:before="120" w:after="120" w:line="276" w:lineRule="auto"/>
        <w:jc w:val="both"/>
        <w:rPr>
          <w:rFonts w:ascii="Verdana" w:hAnsi="Verdana"/>
          <w:szCs w:val="20"/>
          <w:lang w:val="fr-CH"/>
        </w:rPr>
      </w:pPr>
      <w:r w:rsidRPr="00BD04F2">
        <w:rPr>
          <w:rFonts w:ascii="Verdana" w:hAnsi="Verdana"/>
          <w:szCs w:val="20"/>
          <w:lang w:val="fr-CH"/>
        </w:rPr>
        <w:t xml:space="preserve">Art. </w:t>
      </w:r>
      <w:hyperlink w:history="1" w:anchor="art_363" r:id="rId16">
        <w:r w:rsidRPr="00BD04F2" w:rsidR="008F7F49">
          <w:rPr>
            <w:rStyle w:val="Lienhypertexte"/>
            <w:rFonts w:ascii="Verdana" w:hAnsi="Verdana"/>
            <w:szCs w:val="20"/>
            <w:lang w:val="fr-CH"/>
          </w:rPr>
          <w:t xml:space="preserve">363ss </w:t>
        </w:r>
        <w:r w:rsidRPr="00BD04F2">
          <w:rPr>
            <w:rStyle w:val="Lienhypertexte"/>
            <w:rFonts w:ascii="Verdana" w:hAnsi="Verdana"/>
            <w:szCs w:val="20"/>
            <w:lang w:val="fr-CH"/>
          </w:rPr>
          <w:t>CO</w:t>
        </w:r>
      </w:hyperlink>
      <w:r w:rsidRPr="00BD04F2">
        <w:rPr>
          <w:rFonts w:ascii="Verdana" w:hAnsi="Verdana"/>
          <w:szCs w:val="20"/>
          <w:lang w:val="fr-CH"/>
        </w:rPr>
        <w:t xml:space="preserve"> pour le </w:t>
      </w:r>
      <w:r w:rsidRPr="00BD04F2" w:rsidR="008F7F49">
        <w:rPr>
          <w:rFonts w:ascii="Verdana" w:hAnsi="Verdana"/>
          <w:b/>
          <w:szCs w:val="20"/>
          <w:lang w:val="fr-CH"/>
        </w:rPr>
        <w:t>contrat d’entreprise</w:t>
      </w:r>
      <w:r w:rsidRPr="00BD04F2">
        <w:rPr>
          <w:rStyle w:val="Appelnotedebasdep"/>
          <w:rFonts w:ascii="Verdana" w:hAnsi="Verdana"/>
          <w:b/>
          <w:szCs w:val="20"/>
          <w:lang w:val="fr-CH"/>
        </w:rPr>
        <w:footnoteReference w:id="3"/>
      </w:r>
      <w:r w:rsidRPr="00BD04F2" w:rsidR="008F7F49">
        <w:rPr>
          <w:rFonts w:ascii="Verdana" w:hAnsi="Verdana"/>
          <w:szCs w:val="20"/>
          <w:lang w:val="fr-CH"/>
        </w:rPr>
        <w:t>. Dans le contrat d’entreprise, l’entrepreneur s’oblige à atteindre le résultat.</w:t>
      </w:r>
    </w:p>
    <w:p w:rsidRPr="00BD04F2" w:rsidR="008F7F49" w:rsidP="00930620" w:rsidRDefault="008F7F49" w14:paraId="599B09EB" w14:textId="27E1693A">
      <w:pPr>
        <w:pStyle w:val="Paragraphedeliste"/>
        <w:numPr>
          <w:ilvl w:val="0"/>
          <w:numId w:val="30"/>
        </w:numPr>
        <w:spacing w:before="120" w:after="120" w:line="276" w:lineRule="auto"/>
        <w:jc w:val="both"/>
        <w:rPr>
          <w:rFonts w:ascii="Verdana" w:hAnsi="Verdana"/>
          <w:szCs w:val="20"/>
          <w:lang w:val="fr-CH"/>
        </w:rPr>
      </w:pPr>
      <w:r w:rsidRPr="00BD04F2">
        <w:rPr>
          <w:rFonts w:ascii="Verdana" w:hAnsi="Verdana"/>
          <w:szCs w:val="20"/>
          <w:lang w:val="fr-CH"/>
        </w:rPr>
        <w:t>Les droits de la personnalité</w:t>
      </w:r>
      <w:r w:rsidRPr="00BD04F2" w:rsidR="00B3650A">
        <w:rPr>
          <w:rFonts w:ascii="Verdana" w:hAnsi="Verdana"/>
          <w:szCs w:val="20"/>
          <w:lang w:val="fr-CH"/>
        </w:rPr>
        <w:t>, consacrés notamment par l’</w:t>
      </w:r>
      <w:r w:rsidRPr="00BD04F2">
        <w:rPr>
          <w:rFonts w:ascii="Verdana" w:hAnsi="Verdana"/>
          <w:szCs w:val="20"/>
          <w:lang w:val="fr-CH"/>
        </w:rPr>
        <w:t>art. 10 de la Constitution fédérale</w:t>
      </w:r>
      <w:r w:rsidRPr="00BD04F2" w:rsidR="00B3650A">
        <w:rPr>
          <w:rStyle w:val="Appelnotedebasdep"/>
          <w:rFonts w:ascii="Verdana" w:hAnsi="Verdana"/>
          <w:szCs w:val="20"/>
          <w:lang w:val="fr-CH"/>
        </w:rPr>
        <w:footnoteReference w:id="4"/>
      </w:r>
      <w:r w:rsidRPr="00BD04F2">
        <w:rPr>
          <w:rFonts w:ascii="Verdana" w:hAnsi="Verdana"/>
          <w:szCs w:val="20"/>
          <w:lang w:val="fr-CH"/>
        </w:rPr>
        <w:t xml:space="preserve"> et les art. </w:t>
      </w:r>
      <w:hyperlink w:history="1" w:anchor="art_28" r:id="rId17">
        <w:r w:rsidRPr="00BD04F2">
          <w:rPr>
            <w:rStyle w:val="Lienhypertexte"/>
            <w:rFonts w:ascii="Verdana" w:hAnsi="Verdana"/>
            <w:szCs w:val="20"/>
            <w:lang w:val="fr-CH"/>
          </w:rPr>
          <w:t>28 ss du Code civil</w:t>
        </w:r>
      </w:hyperlink>
      <w:r w:rsidRPr="00BD04F2" w:rsidR="00B3650A">
        <w:rPr>
          <w:rStyle w:val="Appelnotedebasdep"/>
          <w:rFonts w:ascii="Verdana" w:hAnsi="Verdana"/>
          <w:szCs w:val="20"/>
          <w:lang w:val="fr-CH"/>
        </w:rPr>
        <w:footnoteReference w:id="5"/>
      </w:r>
      <w:r w:rsidRPr="00BD04F2">
        <w:rPr>
          <w:rFonts w:ascii="Verdana" w:hAnsi="Verdana"/>
          <w:szCs w:val="20"/>
          <w:lang w:val="fr-CH"/>
        </w:rPr>
        <w:t>)</w:t>
      </w:r>
    </w:p>
    <w:p w:rsidRPr="00BD04F2" w:rsidR="0005206D" w:rsidP="00930620" w:rsidRDefault="0005206D" w14:paraId="336178AA" w14:textId="6CA94D2B">
      <w:pPr>
        <w:pStyle w:val="Paragraphedeliste"/>
        <w:numPr>
          <w:ilvl w:val="0"/>
          <w:numId w:val="30"/>
        </w:numPr>
        <w:spacing w:before="120" w:after="120" w:line="276" w:lineRule="auto"/>
        <w:jc w:val="both"/>
        <w:rPr>
          <w:rFonts w:ascii="Verdana" w:hAnsi="Verdana"/>
          <w:szCs w:val="20"/>
          <w:lang w:val="fr-CH"/>
        </w:rPr>
      </w:pPr>
      <w:r w:rsidRPr="00BD04F2">
        <w:rPr>
          <w:rFonts w:ascii="Verdana" w:hAnsi="Verdana"/>
          <w:szCs w:val="20"/>
          <w:lang w:val="fr-CH"/>
        </w:rPr>
        <w:t>En droit pénal, le TF affirme que le traitement médical constitue en soi un délit de lésions corporelles</w:t>
      </w:r>
      <w:r w:rsidRPr="00BD04F2" w:rsidR="008F24DC">
        <w:rPr>
          <w:rFonts w:ascii="Verdana" w:hAnsi="Verdana"/>
          <w:szCs w:val="20"/>
          <w:lang w:val="fr-CH"/>
        </w:rPr>
        <w:t xml:space="preserve"> (</w:t>
      </w:r>
      <w:hyperlink w:history="1" w:anchor="art_123" r:id="rId18">
        <w:r w:rsidRPr="00BD04F2" w:rsidR="008F24DC">
          <w:rPr>
            <w:rStyle w:val="Lienhypertexte"/>
            <w:rFonts w:ascii="Verdana" w:hAnsi="Verdana"/>
            <w:szCs w:val="20"/>
            <w:lang w:val="fr-CH"/>
          </w:rPr>
          <w:t>123</w:t>
        </w:r>
      </w:hyperlink>
      <w:r w:rsidRPr="00BD04F2" w:rsidR="008F24DC">
        <w:rPr>
          <w:rFonts w:ascii="Verdana" w:hAnsi="Verdana"/>
          <w:szCs w:val="20"/>
          <w:lang w:val="fr-CH"/>
        </w:rPr>
        <w:t xml:space="preserve"> et </w:t>
      </w:r>
      <w:hyperlink w:history="1" w:anchor="art_125" r:id="rId19">
        <w:r w:rsidRPr="00BD04F2" w:rsidR="008F24DC">
          <w:rPr>
            <w:rStyle w:val="Lienhypertexte"/>
            <w:rFonts w:ascii="Verdana" w:hAnsi="Verdana"/>
            <w:szCs w:val="20"/>
            <w:lang w:val="fr-CH"/>
          </w:rPr>
          <w:t>125 CP</w:t>
        </w:r>
      </w:hyperlink>
      <w:r w:rsidRPr="00BD04F2" w:rsidR="008F24DC">
        <w:rPr>
          <w:rFonts w:ascii="Verdana" w:hAnsi="Verdana"/>
          <w:szCs w:val="20"/>
          <w:lang w:val="fr-CH"/>
        </w:rPr>
        <w:t>)</w:t>
      </w:r>
      <w:r w:rsidRPr="00BD04F2">
        <w:rPr>
          <w:rFonts w:ascii="Verdana" w:hAnsi="Verdana"/>
          <w:szCs w:val="20"/>
          <w:lang w:val="fr-CH"/>
        </w:rPr>
        <w:t xml:space="preserve"> ou de voies de fait </w:t>
      </w:r>
      <w:r w:rsidRPr="00BD04F2" w:rsidR="008F24DC">
        <w:rPr>
          <w:rFonts w:ascii="Verdana" w:hAnsi="Verdana"/>
          <w:szCs w:val="20"/>
          <w:lang w:val="fr-CH"/>
        </w:rPr>
        <w:t>(</w:t>
      </w:r>
      <w:hyperlink w:history="1" w:anchor="art_126" r:id="rId20">
        <w:r w:rsidRPr="00BD04F2" w:rsidR="008F24DC">
          <w:rPr>
            <w:rStyle w:val="Lienhypertexte"/>
            <w:rFonts w:ascii="Verdana" w:hAnsi="Verdana"/>
            <w:szCs w:val="20"/>
            <w:lang w:val="fr-CH"/>
          </w:rPr>
          <w:t>126 CP</w:t>
        </w:r>
      </w:hyperlink>
      <w:r w:rsidRPr="00BD04F2" w:rsidR="008F24DC">
        <w:rPr>
          <w:rFonts w:ascii="Verdana" w:hAnsi="Verdana"/>
          <w:szCs w:val="20"/>
          <w:lang w:val="fr-CH"/>
        </w:rPr>
        <w:t>). Afin d’échapper à la punissabilité pénale, le médecin doit obtenir le consentement éclairé du patient (</w:t>
      </w:r>
      <w:hyperlink w:history="1" r:id="rId21">
        <w:r w:rsidRPr="00BD04F2" w:rsidR="008F24DC">
          <w:rPr>
            <w:rStyle w:val="Lienhypertexte"/>
            <w:rFonts w:ascii="Verdana" w:hAnsi="Verdana"/>
            <w:szCs w:val="20"/>
            <w:lang w:val="fr-CH"/>
          </w:rPr>
          <w:t>ATF 99 IV 208</w:t>
        </w:r>
      </w:hyperlink>
      <w:r w:rsidRPr="00BD04F2" w:rsidR="008F24DC">
        <w:rPr>
          <w:rFonts w:ascii="Verdana" w:hAnsi="Verdana"/>
          <w:szCs w:val="20"/>
          <w:lang w:val="fr-CH"/>
        </w:rPr>
        <w:t>)</w:t>
      </w:r>
    </w:p>
    <w:p w:rsidRPr="00BD04F2" w:rsidR="008F7F49" w:rsidP="00930620" w:rsidRDefault="008F7F49" w14:paraId="7DC61B26" w14:textId="77777777">
      <w:pPr>
        <w:pStyle w:val="Paragraphedeliste"/>
        <w:numPr>
          <w:ilvl w:val="0"/>
          <w:numId w:val="30"/>
        </w:numPr>
        <w:spacing w:before="120" w:after="120" w:line="276" w:lineRule="auto"/>
        <w:jc w:val="both"/>
        <w:rPr>
          <w:rFonts w:ascii="Verdana" w:hAnsi="Verdana"/>
          <w:szCs w:val="20"/>
          <w:lang w:val="fr-CH"/>
        </w:rPr>
      </w:pPr>
      <w:r w:rsidRPr="00BD04F2">
        <w:rPr>
          <w:rFonts w:ascii="Verdana" w:hAnsi="Verdana"/>
          <w:szCs w:val="20"/>
          <w:lang w:val="fr-CH"/>
        </w:rPr>
        <w:t>Les devoirs professionnels découlant du droit public cantonal et fédéral</w:t>
      </w:r>
      <w:r w:rsidRPr="00BD04F2" w:rsidR="00B3650A">
        <w:rPr>
          <w:rFonts w:ascii="Verdana" w:hAnsi="Verdana"/>
          <w:szCs w:val="20"/>
          <w:lang w:val="fr-CH"/>
        </w:rPr>
        <w:t>.</w:t>
      </w:r>
      <w:r w:rsidRPr="00BD04F2" w:rsidR="008F24DC">
        <w:rPr>
          <w:rFonts w:ascii="Verdana" w:hAnsi="Verdana"/>
          <w:szCs w:val="20"/>
          <w:lang w:val="fr-CH"/>
        </w:rPr>
        <w:t xml:space="preserve"> Par exemple :</w:t>
      </w:r>
    </w:p>
    <w:p w:rsidRPr="00BD04F2" w:rsidR="008F24DC" w:rsidP="00930620" w:rsidRDefault="008F24DC" w14:paraId="340C6A61" w14:textId="44EC08D8">
      <w:pPr>
        <w:pStyle w:val="Paragraphedeliste"/>
        <w:numPr>
          <w:ilvl w:val="1"/>
          <w:numId w:val="30"/>
        </w:numPr>
        <w:spacing w:before="120" w:after="120" w:line="276" w:lineRule="auto"/>
        <w:jc w:val="both"/>
        <w:rPr>
          <w:rFonts w:ascii="Verdana" w:hAnsi="Verdana"/>
          <w:szCs w:val="20"/>
          <w:lang w:val="fr-CH"/>
        </w:rPr>
      </w:pPr>
      <w:r w:rsidRPr="00BD04F2">
        <w:rPr>
          <w:rFonts w:ascii="Verdana" w:hAnsi="Verdana"/>
          <w:szCs w:val="20"/>
          <w:lang w:val="fr-CH"/>
        </w:rPr>
        <w:t xml:space="preserve">L’art. </w:t>
      </w:r>
      <w:hyperlink w:history="1" w:anchor="art_433" r:id="rId22">
        <w:r w:rsidRPr="00BD04F2">
          <w:rPr>
            <w:rStyle w:val="Lienhypertexte"/>
            <w:rFonts w:ascii="Verdana" w:hAnsi="Verdana"/>
            <w:szCs w:val="20"/>
            <w:lang w:val="fr-CH"/>
          </w:rPr>
          <w:t>433 al. 2 CC</w:t>
        </w:r>
      </w:hyperlink>
      <w:r w:rsidRPr="00BD04F2">
        <w:rPr>
          <w:rFonts w:ascii="Verdana" w:hAnsi="Verdana"/>
          <w:szCs w:val="20"/>
          <w:lang w:val="fr-CH"/>
        </w:rPr>
        <w:t xml:space="preserve"> exige que le médecin traitant renseigne le patient placé à des fins d’assistance dans un établissement approprié</w:t>
      </w:r>
    </w:p>
    <w:p w:rsidRPr="00BD04F2" w:rsidR="008F7F49" w:rsidP="00930620" w:rsidRDefault="008F7F49" w14:paraId="22544656" w14:textId="77777777">
      <w:pPr>
        <w:spacing w:before="120" w:after="120" w:line="276" w:lineRule="auto"/>
        <w:jc w:val="both"/>
        <w:rPr>
          <w:rFonts w:ascii="Verdana" w:hAnsi="Verdana"/>
          <w:szCs w:val="20"/>
          <w:lang w:val="fr-CH"/>
        </w:rPr>
      </w:pPr>
      <w:r w:rsidRPr="00BD04F2">
        <w:rPr>
          <w:rFonts w:ascii="Verdana" w:hAnsi="Verdana"/>
          <w:szCs w:val="20"/>
          <w:lang w:val="fr-CH"/>
        </w:rPr>
        <w:t>Les fondements juridiques de ces trois obligations se rejoignent, ce qui conduit peut-être à les confondre un peu. Il importe cependant de bien les distinguer dans la pratique car elles impliquent des actions spécifiques (mise en œuvre devant le juge civil en cas de violation du contrat, surveillance cantonale en matière de violation du cadre légal).</w:t>
      </w:r>
    </w:p>
    <w:p w:rsidRPr="00BD04F2" w:rsidR="00B1749A" w:rsidP="00930620" w:rsidRDefault="00B1749A" w14:paraId="086B6667" w14:textId="77777777">
      <w:pPr>
        <w:spacing w:before="120" w:after="120" w:line="276" w:lineRule="auto"/>
        <w:jc w:val="both"/>
        <w:rPr>
          <w:rFonts w:ascii="Verdana" w:hAnsi="Verdana"/>
          <w:szCs w:val="20"/>
          <w:lang w:val="fr-CH"/>
        </w:rPr>
      </w:pPr>
    </w:p>
    <w:p w:rsidRPr="00BD04F2" w:rsidR="00950FF5" w:rsidRDefault="00950FF5" w14:paraId="28895E1A" w14:textId="77777777">
      <w:pPr>
        <w:rPr>
          <w:rFonts w:ascii="Verdana" w:hAnsi="Verdana" w:eastAsiaTheme="majorEastAsia" w:cstheme="majorBidi"/>
          <w:b/>
          <w:bCs/>
          <w:caps/>
          <w:color w:val="0070C0"/>
          <w:szCs w:val="20"/>
          <w:lang w:val="fr-CH"/>
        </w:rPr>
      </w:pPr>
      <w:r w:rsidRPr="00165AA9">
        <w:rPr>
          <w:rFonts w:ascii="Verdana" w:hAnsi="Verdana"/>
          <w:lang w:val="fr-CH"/>
        </w:rPr>
        <w:br w:type="page"/>
      </w:r>
    </w:p>
    <w:p w:rsidRPr="00BD04F2" w:rsidR="008F7F49" w:rsidP="00C102D2" w:rsidRDefault="008F7F49" w14:paraId="161B1D4C" w14:textId="6C9B9AAA">
      <w:pPr>
        <w:pStyle w:val="Titre2"/>
      </w:pPr>
      <w:bookmarkStart w:name="_Toc127619218" w:id="13"/>
      <w:r w:rsidRPr="00BD04F2">
        <w:t>Fondements déontologiques</w:t>
      </w:r>
      <w:bookmarkEnd w:id="13"/>
    </w:p>
    <w:p w:rsidRPr="00BD04F2" w:rsidR="008F7F49" w:rsidP="005C1669" w:rsidRDefault="008F7F49" w14:paraId="293FAE19" w14:textId="5063F7F8">
      <w:pPr>
        <w:pStyle w:val="Titre3"/>
      </w:pPr>
      <w:bookmarkStart w:name="_Toc127619219" w:id="14"/>
      <w:r w:rsidRPr="00BD04F2">
        <w:t>Le serment d’Hippocrate</w:t>
      </w:r>
      <w:bookmarkEnd w:id="14"/>
    </w:p>
    <w:p w:rsidRPr="00BD04F2" w:rsidR="00AF1C02" w:rsidP="00930620" w:rsidRDefault="008F7F49" w14:paraId="0B06C57C" w14:textId="4E6F671F">
      <w:pPr>
        <w:spacing w:before="120" w:after="120" w:line="276" w:lineRule="auto"/>
        <w:jc w:val="both"/>
        <w:rPr>
          <w:rFonts w:ascii="Verdana" w:hAnsi="Verdana"/>
          <w:szCs w:val="20"/>
          <w:lang w:val="fr-CH"/>
        </w:rPr>
      </w:pPr>
      <w:r w:rsidRPr="00BD04F2">
        <w:rPr>
          <w:rFonts w:ascii="Verdana" w:hAnsi="Verdana"/>
          <w:szCs w:val="20"/>
          <w:lang w:val="fr-CH"/>
        </w:rPr>
        <w:t xml:space="preserve">Cette médecine est contextuelle. Elle n’est pas foncièrement technique, anatomique. Ce </w:t>
      </w:r>
      <w:r w:rsidRPr="00BD04F2" w:rsidR="00AF1C02">
        <w:rPr>
          <w:rFonts w:ascii="Verdana" w:hAnsi="Verdana"/>
          <w:szCs w:val="20"/>
          <w:lang w:val="fr-CH"/>
        </w:rPr>
        <w:t>ne sont</w:t>
      </w:r>
      <w:r w:rsidRPr="00BD04F2">
        <w:rPr>
          <w:rFonts w:ascii="Verdana" w:hAnsi="Verdana"/>
          <w:szCs w:val="20"/>
          <w:lang w:val="fr-CH"/>
        </w:rPr>
        <w:t xml:space="preserve"> pas des formules, des procédures. C’est une science humaine, qui met le contexte autour d’elle.</w:t>
      </w:r>
    </w:p>
    <w:p w:rsidRPr="00BD04F2" w:rsidR="008F7F49" w:rsidP="005C1669" w:rsidRDefault="008F7F49" w14:paraId="1DD2D5B4" w14:textId="77777777">
      <w:pPr>
        <w:pStyle w:val="Titre3"/>
      </w:pPr>
      <w:bookmarkStart w:name="_Toc127619220" w:id="15"/>
      <w:r w:rsidRPr="00BD04F2">
        <w:t>Le code de déontologie de la FMH</w:t>
      </w:r>
      <w:bookmarkEnd w:id="15"/>
    </w:p>
    <w:p w:rsidRPr="00BD04F2" w:rsidR="00416DC0" w:rsidP="00930620" w:rsidRDefault="00BC5C2B" w14:paraId="3C5D21F3" w14:textId="77777777">
      <w:pPr>
        <w:pStyle w:val="Flietext"/>
        <w:spacing w:before="120" w:after="120" w:line="276" w:lineRule="auto"/>
        <w:jc w:val="both"/>
        <w:rPr>
          <w:rFonts w:ascii="Verdana" w:hAnsi="Verdana"/>
          <w:szCs w:val="20"/>
          <w:lang w:val="fr-CH"/>
        </w:rPr>
      </w:pPr>
      <w:r w:rsidRPr="00BD04F2">
        <w:rPr>
          <w:rFonts w:ascii="Verdana" w:hAnsi="Verdana"/>
          <w:szCs w:val="20"/>
          <w:lang w:val="fr-CH"/>
        </w:rPr>
        <w:t xml:space="preserve">Le code de déontologie règle le comportement du médecin envers ses patients, ses confrères, les autres partenaires de la santé publique et la société. </w:t>
      </w:r>
      <w:r w:rsidRPr="00BD04F2" w:rsidR="00416DC0">
        <w:rPr>
          <w:rFonts w:ascii="Verdana" w:hAnsi="Verdana"/>
          <w:szCs w:val="20"/>
          <w:lang w:val="fr-CH"/>
        </w:rPr>
        <w:t xml:space="preserve">Plus largement, il sert de </w:t>
      </w:r>
      <w:r w:rsidRPr="00BD04F2" w:rsidR="00416DC0">
        <w:rPr>
          <w:rFonts w:ascii="Verdana" w:hAnsi="Verdana"/>
          <w:b/>
          <w:szCs w:val="20"/>
          <w:lang w:val="fr-CH"/>
        </w:rPr>
        <w:t>code de conduite pour l’ensemble du corps médical suisse</w:t>
      </w:r>
      <w:r w:rsidRPr="00BD04F2" w:rsidR="00416DC0">
        <w:rPr>
          <w:rFonts w:ascii="Verdana" w:hAnsi="Verdana"/>
          <w:szCs w:val="20"/>
          <w:lang w:val="fr-CH"/>
        </w:rPr>
        <w:t xml:space="preserve">. </w:t>
      </w:r>
      <w:r w:rsidRPr="00BD04F2">
        <w:rPr>
          <w:rFonts w:ascii="Verdana" w:hAnsi="Verdana"/>
          <w:szCs w:val="20"/>
          <w:lang w:val="fr-CH"/>
        </w:rPr>
        <w:t xml:space="preserve">Il vise notamment à </w:t>
      </w:r>
    </w:p>
    <w:p w:rsidRPr="00BD04F2" w:rsidR="00416DC0" w:rsidP="00930620" w:rsidRDefault="0001789F" w14:paraId="5BEC2CA9" w14:textId="71F56B08">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Promouvoir </w:t>
      </w:r>
      <w:r w:rsidRPr="00BD04F2" w:rsidR="00BC5C2B">
        <w:rPr>
          <w:rFonts w:ascii="Verdana" w:hAnsi="Verdana"/>
          <w:szCs w:val="20"/>
          <w:lang w:val="fr-CH"/>
        </w:rPr>
        <w:t>une relation de confiance entre médecin et patients,</w:t>
      </w:r>
    </w:p>
    <w:p w:rsidRPr="00BD04F2" w:rsidR="00416DC0" w:rsidP="00930620" w:rsidRDefault="0001789F" w14:paraId="0E7A30E1" w14:textId="07F49F83">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Favoriser </w:t>
      </w:r>
      <w:r w:rsidRPr="00BD04F2" w:rsidR="00BC5C2B">
        <w:rPr>
          <w:rFonts w:ascii="Verdana" w:hAnsi="Verdana"/>
          <w:szCs w:val="20"/>
          <w:lang w:val="fr-CH"/>
        </w:rPr>
        <w:t xml:space="preserve">la santé de la population, </w:t>
      </w:r>
    </w:p>
    <w:p w:rsidRPr="00BD04F2" w:rsidR="00416DC0" w:rsidP="00930620" w:rsidRDefault="0001789F" w14:paraId="00B1E748" w14:textId="3A9E2455">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Garantir </w:t>
      </w:r>
      <w:r w:rsidRPr="00BD04F2" w:rsidR="00BC5C2B">
        <w:rPr>
          <w:rFonts w:ascii="Verdana" w:hAnsi="Verdana"/>
          <w:szCs w:val="20"/>
          <w:lang w:val="fr-CH"/>
        </w:rPr>
        <w:t xml:space="preserve">la qualité de la formation professionnelle et des prestations médicales, </w:t>
      </w:r>
    </w:p>
    <w:p w:rsidRPr="00BD04F2" w:rsidR="00416DC0" w:rsidP="00930620" w:rsidRDefault="0001789F" w14:paraId="440269D5" w14:textId="6292E538">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Sauvegarder </w:t>
      </w:r>
      <w:r w:rsidRPr="00BD04F2" w:rsidR="00BC5C2B">
        <w:rPr>
          <w:rFonts w:ascii="Verdana" w:hAnsi="Verdana"/>
          <w:szCs w:val="20"/>
          <w:lang w:val="fr-CH"/>
        </w:rPr>
        <w:t xml:space="preserve">la réputation et la libre pratique de la profession médicale, </w:t>
      </w:r>
    </w:p>
    <w:p w:rsidRPr="00BD04F2" w:rsidR="00416DC0" w:rsidP="00930620" w:rsidRDefault="0001789F" w14:paraId="2BA2DE75" w14:textId="51A77339">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Favoriser </w:t>
      </w:r>
      <w:r w:rsidRPr="00BD04F2" w:rsidR="00BC5C2B">
        <w:rPr>
          <w:rFonts w:ascii="Verdana" w:hAnsi="Verdana"/>
          <w:szCs w:val="20"/>
          <w:lang w:val="fr-CH"/>
        </w:rPr>
        <w:t xml:space="preserve">la confraternité et la conciliation entre praticiens, </w:t>
      </w:r>
    </w:p>
    <w:p w:rsidRPr="00BD04F2" w:rsidR="00416DC0" w:rsidP="00930620" w:rsidRDefault="0001789F" w14:paraId="223CF7C9" w14:textId="267BBE6A">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P</w:t>
      </w:r>
      <w:r w:rsidRPr="00BD04F2" w:rsidR="00BC5C2B">
        <w:rPr>
          <w:rFonts w:ascii="Verdana" w:hAnsi="Verdana"/>
          <w:szCs w:val="20"/>
          <w:lang w:val="fr-CH"/>
        </w:rPr>
        <w:t xml:space="preserve">romouvoir un comportement professionnel conforme à la déontologie et définir, </w:t>
      </w:r>
    </w:p>
    <w:p w:rsidRPr="00BD04F2" w:rsidR="00BC5C2B" w:rsidP="00930620" w:rsidRDefault="0001789F" w14:paraId="17FAA639" w14:textId="0AFDB7BC">
      <w:pPr>
        <w:pStyle w:val="Flietext"/>
        <w:numPr>
          <w:ilvl w:val="0"/>
          <w:numId w:val="35"/>
        </w:numPr>
        <w:spacing w:before="120" w:after="120" w:line="276" w:lineRule="auto"/>
        <w:jc w:val="both"/>
        <w:rPr>
          <w:rFonts w:ascii="Verdana" w:hAnsi="Verdana"/>
          <w:szCs w:val="20"/>
          <w:lang w:val="fr-CH"/>
        </w:rPr>
      </w:pPr>
      <w:r w:rsidRPr="00BD04F2">
        <w:rPr>
          <w:rFonts w:ascii="Verdana" w:hAnsi="Verdana"/>
          <w:szCs w:val="20"/>
          <w:lang w:val="fr-CH"/>
        </w:rPr>
        <w:t xml:space="preserve">Prévenir </w:t>
      </w:r>
      <w:r w:rsidRPr="00BD04F2" w:rsidR="00BC5C2B">
        <w:rPr>
          <w:rFonts w:ascii="Verdana" w:hAnsi="Verdana"/>
          <w:szCs w:val="20"/>
          <w:lang w:val="fr-CH"/>
        </w:rPr>
        <w:t>et sanctionner les infractions éventuelles.</w:t>
      </w:r>
    </w:p>
    <w:p w:rsidRPr="00BD04F2" w:rsidR="00BC5C2B" w:rsidP="00930620" w:rsidRDefault="00BC5C2B" w14:paraId="5789E882" w14:textId="3B3E9BAF">
      <w:pPr>
        <w:pStyle w:val="Flietext"/>
        <w:spacing w:before="120" w:after="120" w:line="276" w:lineRule="auto"/>
        <w:jc w:val="both"/>
        <w:rPr>
          <w:rFonts w:ascii="Verdana" w:hAnsi="Verdana"/>
          <w:szCs w:val="20"/>
          <w:lang w:val="fr-CH"/>
        </w:rPr>
      </w:pPr>
      <w:r w:rsidRPr="00BD04F2">
        <w:rPr>
          <w:rFonts w:ascii="Verdana" w:hAnsi="Verdana"/>
          <w:szCs w:val="20"/>
          <w:lang w:val="fr-CH"/>
        </w:rPr>
        <w:t xml:space="preserve">La première partie du </w:t>
      </w:r>
      <w:hyperlink w:history="1" r:id="rId23">
        <w:r w:rsidRPr="00BD04F2">
          <w:rPr>
            <w:rStyle w:val="Lienhypertexte"/>
            <w:rFonts w:ascii="Verdana" w:hAnsi="Verdana"/>
            <w:szCs w:val="20"/>
            <w:lang w:val="fr-CH"/>
          </w:rPr>
          <w:t>code de déontologie</w:t>
        </w:r>
      </w:hyperlink>
      <w:r w:rsidRPr="00BD04F2">
        <w:rPr>
          <w:rFonts w:ascii="Verdana" w:hAnsi="Verdana"/>
          <w:szCs w:val="20"/>
          <w:lang w:val="fr-CH"/>
        </w:rPr>
        <w:t xml:space="preserve"> (art. 1 à 30) traite des relations du médecin avec son patient et ses confrères et de son comportement vis-à-vis de la société et de ses partenaires de la santé publique. La seconde partie est consacrée au champ d’application et aux règles de procédure</w:t>
      </w:r>
      <w:r w:rsidRPr="00BD04F2" w:rsidR="00416DC0">
        <w:rPr>
          <w:rFonts w:ascii="Verdana" w:hAnsi="Verdana"/>
          <w:szCs w:val="20"/>
          <w:lang w:val="fr-CH"/>
        </w:rPr>
        <w:t>. Il convient de préciser que la législation fédérale et cantonale prime le code dans tous les cas (conflit de règles)</w:t>
      </w:r>
    </w:p>
    <w:p w:rsidRPr="00BD04F2" w:rsidR="008F7F49" w:rsidP="00930620" w:rsidRDefault="008F7F49" w14:paraId="65858C26" w14:textId="77777777">
      <w:pPr>
        <w:pStyle w:val="UntertitelFormulare"/>
        <w:spacing w:before="120" w:after="120" w:line="276" w:lineRule="auto"/>
        <w:jc w:val="both"/>
        <w:rPr>
          <w:rFonts w:ascii="Verdana" w:hAnsi="Verdana"/>
          <w:szCs w:val="20"/>
          <w:lang w:val="fr-CH"/>
        </w:rPr>
      </w:pPr>
      <w:r w:rsidRPr="00BD04F2">
        <w:rPr>
          <w:rFonts w:ascii="Verdana" w:hAnsi="Verdana"/>
          <w:szCs w:val="20"/>
          <w:lang w:val="fr-CH"/>
        </w:rPr>
        <w:t>Art. 4 - Principes du traitement</w:t>
      </w:r>
    </w:p>
    <w:p w:rsidRPr="00BD04F2" w:rsidR="008F7F49" w:rsidP="00930620" w:rsidRDefault="008F7F49" w14:paraId="4F5E76B4"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 xml:space="preserve">Tout traitement médical est entrepris dans le respect de la </w:t>
      </w:r>
      <w:r w:rsidRPr="00BD04F2">
        <w:rPr>
          <w:rFonts w:ascii="Verdana" w:hAnsi="Verdana" w:cs="Arial"/>
          <w:b/>
          <w:szCs w:val="20"/>
          <w:lang w:val="fr-CH"/>
        </w:rPr>
        <w:t>dignité humaine</w:t>
      </w:r>
      <w:r w:rsidRPr="00BD04F2">
        <w:rPr>
          <w:rFonts w:ascii="Verdana" w:hAnsi="Verdana" w:cs="Arial"/>
          <w:szCs w:val="20"/>
          <w:lang w:val="fr-CH"/>
        </w:rPr>
        <w:t>, en tenant compte de la personnalité du patient, de sa volonté et de ses droits.</w:t>
      </w:r>
    </w:p>
    <w:p w:rsidRPr="00BD04F2" w:rsidR="008F7F49" w:rsidP="00930620" w:rsidRDefault="008F7F49" w14:paraId="75FCBC9E" w14:textId="5073D6D8">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 xml:space="preserve">Dans l’exercice de sa profession, le médecin n’exploite pas un éventuel état de dépendance du </w:t>
      </w:r>
      <w:r w:rsidRPr="00BD04F2" w:rsidR="00045CE3">
        <w:rPr>
          <w:rFonts w:ascii="Verdana" w:hAnsi="Verdana" w:cs="Arial"/>
          <w:szCs w:val="20"/>
          <w:lang w:val="fr-CH"/>
        </w:rPr>
        <w:t>patient ;</w:t>
      </w:r>
      <w:r w:rsidRPr="00BD04F2">
        <w:rPr>
          <w:rFonts w:ascii="Verdana" w:hAnsi="Verdana" w:cs="Arial"/>
          <w:szCs w:val="20"/>
          <w:lang w:val="fr-CH"/>
        </w:rPr>
        <w:t xml:space="preserve"> il lui est tout particulièrement </w:t>
      </w:r>
      <w:r w:rsidRPr="00BD04F2">
        <w:rPr>
          <w:rFonts w:ascii="Verdana" w:hAnsi="Verdana" w:cs="Arial"/>
          <w:b/>
          <w:szCs w:val="20"/>
          <w:lang w:val="fr-CH"/>
        </w:rPr>
        <w:t>interdit d’abuser de son autorité</w:t>
      </w:r>
      <w:r w:rsidRPr="00BD04F2">
        <w:rPr>
          <w:rFonts w:ascii="Verdana" w:hAnsi="Verdana" w:cs="Arial"/>
          <w:szCs w:val="20"/>
          <w:lang w:val="fr-CH"/>
        </w:rPr>
        <w:t xml:space="preserve"> sur lui, tant sur le plan émotionnel ou sexuel que matériel.</w:t>
      </w:r>
    </w:p>
    <w:p w:rsidRPr="00BD04F2" w:rsidR="008F7F49" w:rsidP="00930620" w:rsidRDefault="008F7F49" w14:paraId="7BDCE272"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 xml:space="preserve">Le médecin traite tous ses patients avec la </w:t>
      </w:r>
      <w:r w:rsidRPr="00BD04F2">
        <w:rPr>
          <w:rFonts w:ascii="Verdana" w:hAnsi="Verdana" w:cs="Arial"/>
          <w:b/>
          <w:szCs w:val="20"/>
          <w:lang w:val="fr-CH"/>
        </w:rPr>
        <w:t>même diligence</w:t>
      </w:r>
      <w:r w:rsidRPr="00BD04F2">
        <w:rPr>
          <w:rFonts w:ascii="Verdana" w:hAnsi="Verdana" w:cs="Arial"/>
          <w:szCs w:val="20"/>
          <w:lang w:val="fr-CH"/>
        </w:rPr>
        <w:t>, en dehors de toute considération de personne. La position sociale du patient, ses convictions religieuses ou politiques, son appartenance ethnique et sa situation économique ne jouent aucun rôle pour le médecin.</w:t>
      </w:r>
    </w:p>
    <w:p w:rsidRPr="00BD04F2" w:rsidR="008F7F49" w:rsidP="00930620" w:rsidRDefault="008F7F49" w14:paraId="5B892863" w14:textId="77777777">
      <w:pPr>
        <w:pStyle w:val="UntertitelFormulare"/>
        <w:spacing w:before="120" w:after="120" w:line="276" w:lineRule="auto"/>
        <w:jc w:val="both"/>
        <w:rPr>
          <w:rFonts w:ascii="Verdana" w:hAnsi="Verdana"/>
          <w:szCs w:val="20"/>
          <w:lang w:val="fr-CH"/>
        </w:rPr>
      </w:pPr>
      <w:r w:rsidRPr="00BD04F2">
        <w:rPr>
          <w:rFonts w:ascii="Verdana" w:hAnsi="Verdana"/>
          <w:szCs w:val="20"/>
          <w:lang w:val="fr-CH"/>
        </w:rPr>
        <w:t>Art. 8 Pratiques médicales discutables</w:t>
      </w:r>
    </w:p>
    <w:p w:rsidRPr="00BD04F2" w:rsidR="008F7F49" w:rsidP="00930620" w:rsidRDefault="008F7F49" w14:paraId="37DF509B"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Le recours à des pratiques diagnostiques et thérapeutiques discutables est inadmissible lorsqu’une telle activité s’exerce au mépris des connaissances médicales scientifiquement établies et en abusant de la confiance, de l’ignorance, de la crédulité ou du désarroi d’un patient. Il est également inadmissible de promettre le succès d’un traitement, en particulier lorsqu’il s’agit de maladies qui, au stade actuel des connaissances scientifiques, sont réputées incurables.</w:t>
      </w:r>
    </w:p>
    <w:p w:rsidR="009A0A44" w:rsidRDefault="009A0A44" w14:paraId="4B071464" w14:textId="77777777">
      <w:pPr>
        <w:rPr>
          <w:rFonts w:ascii="Verdana" w:hAnsi="Verdana"/>
          <w:b/>
          <w:szCs w:val="20"/>
          <w:lang w:val="fr-CH"/>
        </w:rPr>
      </w:pPr>
      <w:r>
        <w:rPr>
          <w:rFonts w:ascii="Verdana" w:hAnsi="Verdana"/>
          <w:szCs w:val="20"/>
          <w:lang w:val="fr-CH"/>
        </w:rPr>
        <w:br w:type="page"/>
      </w:r>
    </w:p>
    <w:p w:rsidRPr="00BD04F2" w:rsidR="008F7F49" w:rsidP="00930620" w:rsidRDefault="008F7F49" w14:paraId="3E075D6D" w14:textId="61E9379B">
      <w:pPr>
        <w:pStyle w:val="UntertitelFormulare"/>
        <w:spacing w:before="120" w:after="120" w:line="276" w:lineRule="auto"/>
        <w:jc w:val="both"/>
        <w:rPr>
          <w:rFonts w:ascii="Verdana" w:hAnsi="Verdana"/>
          <w:szCs w:val="20"/>
          <w:lang w:val="fr-CH"/>
        </w:rPr>
      </w:pPr>
      <w:r w:rsidRPr="00BD04F2">
        <w:rPr>
          <w:rFonts w:ascii="Verdana" w:hAnsi="Verdana"/>
          <w:szCs w:val="20"/>
          <w:lang w:val="fr-CH"/>
        </w:rPr>
        <w:t>Art. 10 Devoir d’information</w:t>
      </w:r>
    </w:p>
    <w:p w:rsidRPr="00BD04F2" w:rsidR="008F7F49" w:rsidP="00930620" w:rsidRDefault="008F7F49" w14:paraId="3B97F5BD"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 xml:space="preserve">Le médecin fournit au patient une </w:t>
      </w:r>
      <w:r w:rsidRPr="00BD04F2">
        <w:rPr>
          <w:rFonts w:ascii="Verdana" w:hAnsi="Verdana" w:cs="Arial"/>
          <w:b/>
          <w:szCs w:val="20"/>
          <w:lang w:val="fr-CH"/>
        </w:rPr>
        <w:t>information compréhensible</w:t>
      </w:r>
      <w:r w:rsidRPr="00BD04F2">
        <w:rPr>
          <w:rFonts w:ascii="Verdana" w:hAnsi="Verdana" w:cs="Arial"/>
          <w:szCs w:val="20"/>
          <w:lang w:val="fr-CH"/>
        </w:rPr>
        <w:t xml:space="preserve"> sur les investigations </w:t>
      </w:r>
      <w:r w:rsidRPr="00BD04F2">
        <w:rPr>
          <w:rFonts w:ascii="Verdana" w:hAnsi="Verdana" w:cs="Arial"/>
          <w:b/>
          <w:szCs w:val="20"/>
          <w:lang w:val="fr-CH"/>
        </w:rPr>
        <w:t>diagnostiques</w:t>
      </w:r>
      <w:r w:rsidRPr="00BD04F2">
        <w:rPr>
          <w:rFonts w:ascii="Verdana" w:hAnsi="Verdana" w:cs="Arial"/>
          <w:szCs w:val="20"/>
          <w:lang w:val="fr-CH"/>
        </w:rPr>
        <w:t xml:space="preserve"> et les </w:t>
      </w:r>
      <w:r w:rsidRPr="00BD04F2">
        <w:rPr>
          <w:rFonts w:ascii="Verdana" w:hAnsi="Verdana" w:cs="Arial"/>
          <w:b/>
          <w:szCs w:val="20"/>
          <w:lang w:val="fr-CH"/>
        </w:rPr>
        <w:t>mesures thérapeutiques envisagées</w:t>
      </w:r>
      <w:r w:rsidRPr="00BD04F2">
        <w:rPr>
          <w:rFonts w:ascii="Verdana" w:hAnsi="Verdana" w:cs="Arial"/>
          <w:szCs w:val="20"/>
          <w:lang w:val="fr-CH"/>
        </w:rPr>
        <w:t xml:space="preserve">, les </w:t>
      </w:r>
      <w:r w:rsidRPr="00BD04F2">
        <w:rPr>
          <w:rFonts w:ascii="Verdana" w:hAnsi="Verdana" w:cs="Arial"/>
          <w:b/>
          <w:szCs w:val="20"/>
          <w:lang w:val="fr-CH"/>
        </w:rPr>
        <w:t>résultats</w:t>
      </w:r>
      <w:r w:rsidRPr="00BD04F2">
        <w:rPr>
          <w:rFonts w:ascii="Verdana" w:hAnsi="Verdana" w:cs="Arial"/>
          <w:szCs w:val="20"/>
          <w:lang w:val="fr-CH"/>
        </w:rPr>
        <w:t xml:space="preserve"> d’examens, le </w:t>
      </w:r>
      <w:r w:rsidRPr="00BD04F2">
        <w:rPr>
          <w:rFonts w:ascii="Verdana" w:hAnsi="Verdana" w:cs="Arial"/>
          <w:b/>
          <w:szCs w:val="20"/>
          <w:lang w:val="fr-CH"/>
        </w:rPr>
        <w:t>pronostic</w:t>
      </w:r>
      <w:r w:rsidRPr="00BD04F2">
        <w:rPr>
          <w:rFonts w:ascii="Verdana" w:hAnsi="Verdana" w:cs="Arial"/>
          <w:szCs w:val="20"/>
          <w:lang w:val="fr-CH"/>
        </w:rPr>
        <w:t xml:space="preserve"> et les </w:t>
      </w:r>
      <w:r w:rsidRPr="00BD04F2">
        <w:rPr>
          <w:rFonts w:ascii="Verdana" w:hAnsi="Verdana" w:cs="Arial"/>
          <w:b/>
          <w:szCs w:val="20"/>
          <w:lang w:val="fr-CH"/>
        </w:rPr>
        <w:t>risques</w:t>
      </w:r>
      <w:r w:rsidRPr="00BD04F2">
        <w:rPr>
          <w:rFonts w:ascii="Verdana" w:hAnsi="Verdana" w:cs="Arial"/>
          <w:szCs w:val="20"/>
          <w:lang w:val="fr-CH"/>
        </w:rPr>
        <w:t xml:space="preserve">, ainsi que sur les </w:t>
      </w:r>
      <w:r w:rsidRPr="00BD04F2">
        <w:rPr>
          <w:rFonts w:ascii="Verdana" w:hAnsi="Verdana" w:cs="Arial"/>
          <w:b/>
          <w:szCs w:val="20"/>
          <w:lang w:val="fr-CH"/>
        </w:rPr>
        <w:t>autres possibilités de traitement</w:t>
      </w:r>
      <w:r w:rsidRPr="00BD04F2">
        <w:rPr>
          <w:rFonts w:ascii="Verdana" w:hAnsi="Verdana" w:cs="Arial"/>
          <w:szCs w:val="20"/>
          <w:lang w:val="fr-CH"/>
        </w:rPr>
        <w:t>.</w:t>
      </w:r>
    </w:p>
    <w:p w:rsidRPr="00BD04F2" w:rsidR="008F7F49" w:rsidP="00930620" w:rsidRDefault="008F7F49" w14:paraId="4FBB3704"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Il évalue soigneusement la manière dont il mènera l’entretien avec le patient et les informations que celui-ci est en mesure de supporter.</w:t>
      </w:r>
    </w:p>
    <w:p w:rsidRPr="00BD04F2" w:rsidR="00F75D9D" w:rsidP="00930620" w:rsidRDefault="008F7F49" w14:paraId="5C3A68BF" w14:textId="77777777">
      <w:pPr>
        <w:pStyle w:val="Paragraphedeliste"/>
        <w:numPr>
          <w:ilvl w:val="0"/>
          <w:numId w:val="27"/>
        </w:numPr>
        <w:spacing w:before="120" w:after="120" w:line="276" w:lineRule="auto"/>
        <w:ind w:left="720"/>
        <w:jc w:val="both"/>
        <w:rPr>
          <w:rFonts w:ascii="Verdana" w:hAnsi="Verdana" w:cs="Arial"/>
          <w:szCs w:val="20"/>
          <w:lang w:val="fr-CH"/>
        </w:rPr>
      </w:pPr>
      <w:r w:rsidRPr="00BD04F2">
        <w:rPr>
          <w:rFonts w:ascii="Verdana" w:hAnsi="Verdana" w:cs="Arial"/>
          <w:szCs w:val="20"/>
          <w:lang w:val="fr-CH"/>
        </w:rPr>
        <w:t>S’il existe un doute quant à la prise en charge du traitement par l’assurance du patient, le médecin en informe celui-ci et lui demande de vérifier la question du remboursement auprès de son assureur.</w:t>
      </w:r>
    </w:p>
    <w:p w:rsidRPr="00BD04F2" w:rsidR="00F75D9D" w:rsidP="002E7C46" w:rsidRDefault="00F75D9D" w14:paraId="47D14E7D" w14:textId="77777777">
      <w:pPr>
        <w:pStyle w:val="Titre1"/>
      </w:pPr>
      <w:bookmarkStart w:name="_Toc127619221" w:id="16"/>
      <w:r w:rsidRPr="00BD04F2">
        <w:t>Définitions des notions clefs</w:t>
      </w:r>
      <w:bookmarkEnd w:id="16"/>
    </w:p>
    <w:p w:rsidRPr="00BD04F2" w:rsidR="00F75D9D" w:rsidP="00930620" w:rsidRDefault="00B3650A" w14:paraId="43BCE8DA" w14:textId="77777777">
      <w:p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 xml:space="preserve">Le consentement éclairé implique </w:t>
      </w:r>
      <w:r w:rsidRPr="00BD04F2">
        <w:rPr>
          <w:rFonts w:ascii="Verdana" w:hAnsi="Verdana" w:cstheme="minorHAnsi"/>
          <w:b/>
          <w:szCs w:val="20"/>
          <w:lang w:val="fr-CH"/>
        </w:rPr>
        <w:t>trois obligations distinctes</w:t>
      </w:r>
      <w:r w:rsidRPr="00BD04F2">
        <w:rPr>
          <w:rFonts w:ascii="Verdana" w:hAnsi="Verdana" w:cstheme="minorHAnsi"/>
          <w:szCs w:val="20"/>
          <w:lang w:val="fr-CH"/>
        </w:rPr>
        <w:t>.</w:t>
      </w:r>
    </w:p>
    <w:p w:rsidRPr="00BD04F2" w:rsidR="00B3650A" w:rsidP="00930620" w:rsidRDefault="0001789F" w14:paraId="7ACA459F" w14:textId="04A6AD05">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O</w:t>
      </w:r>
      <w:r w:rsidRPr="00BD04F2" w:rsidR="00B3650A">
        <w:rPr>
          <w:rFonts w:ascii="Verdana" w:hAnsi="Verdana"/>
          <w:szCs w:val="20"/>
          <w:lang w:val="fr-CH"/>
        </w:rPr>
        <w:t>bligation d’informer le patient</w:t>
      </w:r>
    </w:p>
    <w:p w:rsidRPr="00BD04F2" w:rsidR="00B3650A" w:rsidP="00930620" w:rsidRDefault="0001789F" w14:paraId="3CDDCD5D" w14:textId="34B7F586">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O</w:t>
      </w:r>
      <w:r w:rsidRPr="00BD04F2" w:rsidR="00B3650A">
        <w:rPr>
          <w:rFonts w:ascii="Verdana" w:hAnsi="Verdana"/>
          <w:szCs w:val="20"/>
          <w:lang w:val="fr-CH"/>
        </w:rPr>
        <w:t>bligation d’obtenir le consentement du patient avant une intervention</w:t>
      </w:r>
    </w:p>
    <w:p w:rsidRPr="00BD04F2" w:rsidR="00B3650A" w:rsidP="00930620" w:rsidRDefault="0001789F" w14:paraId="241C3224" w14:textId="5790A070">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O</w:t>
      </w:r>
      <w:r w:rsidRPr="00BD04F2" w:rsidR="00B3650A">
        <w:rPr>
          <w:rFonts w:ascii="Verdana" w:hAnsi="Verdana"/>
          <w:szCs w:val="20"/>
          <w:lang w:val="fr-CH"/>
        </w:rPr>
        <w:t>bligation de document le dossier patient</w:t>
      </w:r>
    </w:p>
    <w:p w:rsidRPr="00BD04F2" w:rsidR="00747052" w:rsidP="005C1669" w:rsidRDefault="00747052" w14:paraId="1E11FC8E" w14:textId="77777777">
      <w:pPr>
        <w:pStyle w:val="Titre3"/>
        <w:numPr>
          <w:ilvl w:val="2"/>
          <w:numId w:val="48"/>
        </w:numPr>
      </w:pPr>
      <w:bookmarkStart w:name="_Toc60210546" w:id="17"/>
      <w:bookmarkStart w:name="_Toc127619222" w:id="18"/>
      <w:r w:rsidRPr="00BD04F2">
        <w:t>L’obligation d’informer le patient</w:t>
      </w:r>
      <w:bookmarkEnd w:id="17"/>
      <w:bookmarkEnd w:id="18"/>
    </w:p>
    <w:p w:rsidRPr="00BD04F2" w:rsidR="00747052" w:rsidP="005C1669" w:rsidRDefault="00747052" w14:paraId="33129C1E" w14:textId="3E2BC10A">
      <w:pPr>
        <w:pStyle w:val="Titre3"/>
      </w:pPr>
      <w:bookmarkStart w:name="_Toc60210547" w:id="19"/>
      <w:bookmarkStart w:name="_Toc127619223" w:id="20"/>
      <w:r w:rsidRPr="00BD04F2">
        <w:t>Le principe</w:t>
      </w:r>
      <w:bookmarkEnd w:id="19"/>
      <w:bookmarkEnd w:id="20"/>
    </w:p>
    <w:p w:rsidRPr="00BD04F2" w:rsidR="00747052" w:rsidP="00930620" w:rsidRDefault="00747052" w14:paraId="6BFBFE24" w14:textId="31D923E7">
      <w:pPr>
        <w:spacing w:before="120" w:after="120" w:line="276" w:lineRule="auto"/>
        <w:jc w:val="both"/>
        <w:rPr>
          <w:rFonts w:ascii="Verdana" w:hAnsi="Verdana"/>
          <w:szCs w:val="20"/>
          <w:lang w:val="fr-CH"/>
        </w:rPr>
      </w:pPr>
      <w:r w:rsidRPr="00BD04F2">
        <w:rPr>
          <w:rFonts w:ascii="Verdana" w:hAnsi="Verdana"/>
          <w:szCs w:val="20"/>
          <w:lang w:val="fr-CH"/>
        </w:rPr>
        <w:t xml:space="preserve">Avant toute prise en charge, le professionnel de la santé à l’obligation d’informer le patient de façon </w:t>
      </w:r>
      <w:r w:rsidRPr="00BD04F2">
        <w:rPr>
          <w:rFonts w:ascii="Verdana" w:hAnsi="Verdana"/>
          <w:b/>
          <w:szCs w:val="20"/>
          <w:lang w:val="fr-CH"/>
        </w:rPr>
        <w:t>simple, compréhensible et acceptable</w:t>
      </w:r>
      <w:r w:rsidRPr="00BD04F2">
        <w:rPr>
          <w:rFonts w:ascii="Verdana" w:hAnsi="Verdana"/>
          <w:szCs w:val="20"/>
          <w:lang w:val="fr-CH"/>
        </w:rPr>
        <w:t xml:space="preserve"> pour lui (</w:t>
      </w:r>
      <w:hyperlink w:history="1" r:id="rId24">
        <w:r w:rsidRPr="00BD04F2">
          <w:rPr>
            <w:rStyle w:val="Lienhypertexte"/>
            <w:rFonts w:ascii="Verdana" w:hAnsi="Verdana"/>
            <w:szCs w:val="20"/>
            <w:lang w:val="fr-CH"/>
          </w:rPr>
          <w:t>ATF 4P.265/2002</w:t>
        </w:r>
      </w:hyperlink>
      <w:r w:rsidRPr="00BD04F2">
        <w:rPr>
          <w:rStyle w:val="Appelnotedebasdep"/>
          <w:rFonts w:ascii="Verdana" w:hAnsi="Verdana"/>
          <w:szCs w:val="20"/>
          <w:lang w:val="fr-CH"/>
        </w:rPr>
        <w:footnoteReference w:id="6"/>
      </w:r>
      <w:r w:rsidRPr="00BD04F2">
        <w:rPr>
          <w:rFonts w:ascii="Verdana" w:hAnsi="Verdana"/>
          <w:szCs w:val="20"/>
          <w:lang w:val="fr-CH"/>
        </w:rPr>
        <w:t>)</w:t>
      </w:r>
      <w:r w:rsidRPr="00BD04F2" w:rsidR="00416DC0">
        <w:rPr>
          <w:rFonts w:ascii="Verdana" w:hAnsi="Verdana"/>
          <w:szCs w:val="20"/>
          <w:lang w:val="fr-CH"/>
        </w:rPr>
        <w:t>.</w:t>
      </w:r>
    </w:p>
    <w:p w:rsidRPr="00BD04F2" w:rsidR="00747052" w:rsidP="00930620" w:rsidRDefault="00747052" w14:paraId="775E2930" w14:textId="77777777">
      <w:pPr>
        <w:spacing w:before="120" w:after="120" w:line="276" w:lineRule="auto"/>
        <w:jc w:val="both"/>
        <w:rPr>
          <w:rFonts w:ascii="Verdana" w:hAnsi="Verdana"/>
          <w:szCs w:val="20"/>
          <w:lang w:val="fr-CH"/>
        </w:rPr>
      </w:pPr>
      <w:r w:rsidRPr="00BD04F2">
        <w:rPr>
          <w:rFonts w:ascii="Verdana" w:hAnsi="Verdana"/>
          <w:szCs w:val="20"/>
          <w:lang w:val="fr-CH"/>
        </w:rPr>
        <w:t xml:space="preserve">Rappelons qu’en matière de preuve, </w:t>
      </w:r>
      <w:r w:rsidRPr="00BD04F2" w:rsidR="00882BFF">
        <w:rPr>
          <w:rFonts w:ascii="Verdana" w:hAnsi="Verdana"/>
          <w:b/>
          <w:szCs w:val="20"/>
          <w:lang w:val="fr-CH"/>
        </w:rPr>
        <w:t>le</w:t>
      </w:r>
      <w:r w:rsidRPr="00BD04F2">
        <w:rPr>
          <w:rFonts w:ascii="Verdana" w:hAnsi="Verdana"/>
          <w:b/>
          <w:szCs w:val="20"/>
          <w:lang w:val="fr-CH"/>
        </w:rPr>
        <w:t xml:space="preserve"> professionnel de la santé d</w:t>
      </w:r>
      <w:r w:rsidRPr="00BD04F2" w:rsidR="00882BFF">
        <w:rPr>
          <w:rFonts w:ascii="Verdana" w:hAnsi="Verdana"/>
          <w:b/>
          <w:szCs w:val="20"/>
          <w:lang w:val="fr-CH"/>
        </w:rPr>
        <w:t>oit</w:t>
      </w:r>
      <w:r w:rsidRPr="00BD04F2">
        <w:rPr>
          <w:rFonts w:ascii="Verdana" w:hAnsi="Verdana"/>
          <w:b/>
          <w:szCs w:val="20"/>
          <w:lang w:val="fr-CH"/>
        </w:rPr>
        <w:t xml:space="preserve"> prouver</w:t>
      </w:r>
      <w:r w:rsidRPr="00BD04F2">
        <w:rPr>
          <w:rFonts w:ascii="Verdana" w:hAnsi="Verdana"/>
          <w:szCs w:val="20"/>
          <w:lang w:val="fr-CH"/>
        </w:rPr>
        <w:t xml:space="preserve"> qu’il a respecté son obligation d’information. Comme le dit la terminologie juridique, le professionnel supporte le fardeau de la preuve du consentement éclairé. Ainsi, si la forme est libre, il est fortement recommandé d’en garder une </w:t>
      </w:r>
      <w:r w:rsidRPr="00BD04F2">
        <w:rPr>
          <w:rFonts w:ascii="Verdana" w:hAnsi="Verdana"/>
          <w:b/>
          <w:szCs w:val="20"/>
          <w:lang w:val="fr-CH"/>
        </w:rPr>
        <w:t>trace écrite</w:t>
      </w:r>
      <w:r w:rsidRPr="00BD04F2">
        <w:rPr>
          <w:rFonts w:ascii="Verdana" w:hAnsi="Verdana"/>
          <w:szCs w:val="20"/>
          <w:lang w:val="fr-CH"/>
        </w:rPr>
        <w:t>. Pour les conséquences, voir le chiffre suivant.</w:t>
      </w:r>
    </w:p>
    <w:p w:rsidRPr="00BD04F2" w:rsidR="00E5604A" w:rsidP="00930620" w:rsidRDefault="00E5604A" w14:paraId="420ED27A" w14:textId="77777777">
      <w:pPr>
        <w:spacing w:before="120" w:after="120" w:line="276" w:lineRule="auto"/>
        <w:jc w:val="both"/>
        <w:rPr>
          <w:rFonts w:ascii="Verdana" w:hAnsi="Verdana"/>
          <w:szCs w:val="20"/>
          <w:lang w:val="fr-CH"/>
        </w:rPr>
      </w:pPr>
      <w:r w:rsidRPr="00BD04F2">
        <w:rPr>
          <w:rFonts w:ascii="Verdana" w:hAnsi="Verdana"/>
          <w:szCs w:val="20"/>
          <w:lang w:val="fr-CH"/>
        </w:rPr>
        <w:t>Chaque professionnel doit informer dès qu’il lui fournit personnellement une prestation de soin. Le patient quan</w:t>
      </w:r>
      <w:r w:rsidRPr="00BD04F2" w:rsidR="0008315C">
        <w:rPr>
          <w:rFonts w:ascii="Verdana" w:hAnsi="Verdana"/>
          <w:szCs w:val="20"/>
          <w:lang w:val="fr-CH"/>
        </w:rPr>
        <w:t>t</w:t>
      </w:r>
      <w:r w:rsidRPr="00BD04F2">
        <w:rPr>
          <w:rFonts w:ascii="Verdana" w:hAnsi="Verdana"/>
          <w:szCs w:val="20"/>
          <w:lang w:val="fr-CH"/>
        </w:rPr>
        <w:t xml:space="preserve"> à lui doit donner toutes les informations nécessaires sur son état de santé.</w:t>
      </w:r>
    </w:p>
    <w:p w:rsidRPr="00BD04F2" w:rsidR="00747052" w:rsidP="005C1669" w:rsidRDefault="00747052" w14:paraId="4DAD77FF" w14:textId="77777777">
      <w:pPr>
        <w:pStyle w:val="Titre3"/>
      </w:pPr>
      <w:bookmarkStart w:name="_Toc60210548" w:id="21"/>
      <w:bookmarkStart w:name="_Toc127619224" w:id="22"/>
      <w:r w:rsidRPr="00BD04F2">
        <w:t>Exceptions à l’obligation d’informer</w:t>
      </w:r>
      <w:bookmarkEnd w:id="21"/>
      <w:bookmarkEnd w:id="22"/>
    </w:p>
    <w:p w:rsidRPr="00BD04F2" w:rsidR="00747052" w:rsidP="00930620" w:rsidRDefault="00747052" w14:paraId="12E15E23" w14:textId="77777777">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b/>
          <w:szCs w:val="20"/>
          <w:lang w:val="fr-CH"/>
        </w:rPr>
        <w:t>L’urgence</w:t>
      </w:r>
      <w:r w:rsidRPr="00BD04F2">
        <w:rPr>
          <w:rFonts w:ascii="Verdana" w:hAnsi="Verdana"/>
          <w:szCs w:val="20"/>
          <w:lang w:val="fr-CH"/>
        </w:rPr>
        <w:t>, lorsqu’elle confine à l’état de nécessité. De même si dans le cadre d’une opération en cours, il y a nécessité évidente d’en effectuer une autre.</w:t>
      </w:r>
    </w:p>
    <w:p w:rsidRPr="00BD04F2" w:rsidR="00747052" w:rsidP="00930620" w:rsidRDefault="00747052" w14:paraId="71F4E06F" w14:textId="77777777">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szCs w:val="20"/>
          <w:lang w:val="fr-CH"/>
        </w:rPr>
        <w:t xml:space="preserve">Les </w:t>
      </w:r>
      <w:r w:rsidRPr="00BD04F2">
        <w:rPr>
          <w:rFonts w:ascii="Verdana" w:hAnsi="Verdana"/>
          <w:b/>
          <w:szCs w:val="20"/>
          <w:lang w:val="fr-CH"/>
        </w:rPr>
        <w:t>actes courants sans danger particulier</w:t>
      </w:r>
      <w:r w:rsidRPr="00BD04F2">
        <w:rPr>
          <w:rFonts w:ascii="Verdana" w:hAnsi="Verdana"/>
          <w:szCs w:val="20"/>
          <w:lang w:val="fr-CH"/>
        </w:rPr>
        <w:t xml:space="preserve"> qui n’entraînent pas d’atteinte définitive ou durable à l’intégrité corporelle (mesures thérapeutiques courantes ou les interventions anodines).</w:t>
      </w:r>
    </w:p>
    <w:p w:rsidRPr="00BD04F2" w:rsidR="00747052" w:rsidP="00930620" w:rsidRDefault="00747052" w14:paraId="3E583DFF" w14:textId="77777777">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szCs w:val="20"/>
          <w:lang w:val="fr-CH"/>
        </w:rPr>
        <w:t xml:space="preserve">Le </w:t>
      </w:r>
      <w:r w:rsidRPr="00BD04F2">
        <w:rPr>
          <w:rFonts w:ascii="Verdana" w:hAnsi="Verdana"/>
          <w:b/>
          <w:szCs w:val="20"/>
          <w:lang w:val="fr-CH"/>
        </w:rPr>
        <w:t>refus du patient</w:t>
      </w:r>
      <w:r w:rsidRPr="00BD04F2">
        <w:rPr>
          <w:rFonts w:ascii="Verdana" w:hAnsi="Verdana"/>
          <w:szCs w:val="20"/>
          <w:lang w:val="fr-CH"/>
        </w:rPr>
        <w:t>. Cette exception est discutée, notamment lorsque le consentement n’est pas éclairé ou lorsque ce refus implique des tiers</w:t>
      </w:r>
    </w:p>
    <w:p w:rsidRPr="00BD04F2" w:rsidR="00747052" w:rsidP="00930620" w:rsidRDefault="00747052" w14:paraId="2B9677EB" w14:textId="547DD8DC">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szCs w:val="20"/>
          <w:lang w:val="fr-CH"/>
        </w:rPr>
        <w:t xml:space="preserve">Le </w:t>
      </w:r>
      <w:r w:rsidRPr="00BD04F2">
        <w:rPr>
          <w:rFonts w:ascii="Verdana" w:hAnsi="Verdana"/>
          <w:b/>
          <w:szCs w:val="20"/>
          <w:lang w:val="fr-CH"/>
        </w:rPr>
        <w:t>privilège thérapeutique</w:t>
      </w:r>
      <w:r w:rsidRPr="00BD04F2">
        <w:rPr>
          <w:rFonts w:ascii="Verdana" w:hAnsi="Verdana"/>
          <w:szCs w:val="20"/>
          <w:lang w:val="fr-CH"/>
        </w:rPr>
        <w:t xml:space="preserve"> : il est des cas où le médecin ne doit pas inquiéter inutilement le patient en suscitant chez ce dernier un état d’anxiété préjudiciable à sa santé. Ainsi, un pronostic grave ou fatal peut être caché au patient, mais doit en principe être révélé à ses proches (réf. </w:t>
      </w:r>
      <w:hyperlink w:history="1" r:id="rId25">
        <w:r w:rsidRPr="00BD04F2">
          <w:rPr>
            <w:rStyle w:val="Lienhypertexte"/>
            <w:rFonts w:ascii="Verdana" w:hAnsi="Verdana"/>
            <w:szCs w:val="20"/>
            <w:lang w:val="fr-CH"/>
          </w:rPr>
          <w:t>4P 110/2003</w:t>
        </w:r>
      </w:hyperlink>
      <w:r w:rsidRPr="00BD04F2">
        <w:rPr>
          <w:rFonts w:ascii="Verdana" w:hAnsi="Verdana"/>
          <w:szCs w:val="20"/>
          <w:lang w:val="fr-CH"/>
        </w:rPr>
        <w:t>)</w:t>
      </w:r>
    </w:p>
    <w:p w:rsidRPr="00BD04F2" w:rsidR="00747052" w:rsidP="00930620" w:rsidRDefault="00747052" w14:paraId="329D0CFE" w14:textId="77777777">
      <w:pPr>
        <w:spacing w:before="120" w:after="120" w:line="276" w:lineRule="auto"/>
        <w:jc w:val="both"/>
        <w:rPr>
          <w:rFonts w:ascii="Verdana" w:hAnsi="Verdana"/>
          <w:b/>
          <w:szCs w:val="20"/>
          <w:lang w:val="fr-CH"/>
        </w:rPr>
      </w:pPr>
      <w:r w:rsidRPr="00BD04F2">
        <w:rPr>
          <w:rFonts w:ascii="Verdana" w:hAnsi="Verdana"/>
          <w:b/>
          <w:szCs w:val="20"/>
          <w:lang w:val="fr-CH"/>
        </w:rPr>
        <w:t>Sous réserve de ces exceptions, aucun soin ne peut être fourni sans le consentement libre et éclairé du patient capable de discernement.</w:t>
      </w:r>
    </w:p>
    <w:p w:rsidRPr="00BD04F2" w:rsidR="00747052" w:rsidP="005C1669" w:rsidRDefault="00747052" w14:paraId="4E0844D7" w14:textId="77777777">
      <w:pPr>
        <w:pStyle w:val="Titre3"/>
      </w:pPr>
      <w:bookmarkStart w:name="_Toc60210549" w:id="23"/>
      <w:bookmarkStart w:name="_Toc127619225" w:id="24"/>
      <w:r w:rsidRPr="00BD04F2">
        <w:t>les difficultés</w:t>
      </w:r>
      <w:bookmarkEnd w:id="23"/>
      <w:bookmarkEnd w:id="24"/>
    </w:p>
    <w:p w:rsidRPr="00BD04F2" w:rsidR="00747052" w:rsidP="00930620" w:rsidRDefault="00747052" w14:paraId="2E45BA68" w14:textId="77777777">
      <w:pPr>
        <w:spacing w:before="120" w:after="120" w:line="276" w:lineRule="auto"/>
        <w:jc w:val="both"/>
        <w:rPr>
          <w:rFonts w:ascii="Verdana" w:hAnsi="Verdana"/>
          <w:szCs w:val="20"/>
          <w:lang w:val="fr-CH"/>
        </w:rPr>
      </w:pPr>
      <w:r w:rsidRPr="00BD04F2">
        <w:rPr>
          <w:rFonts w:ascii="Verdana" w:hAnsi="Verdana"/>
          <w:szCs w:val="20"/>
          <w:lang w:val="fr-CH"/>
        </w:rPr>
        <w:t>Il n’est pas forcément simple de matérialiser l’obligation d’information, i.e. « de faire passer le message » pour qu’il soit bien entendu et compris, notamment des circonstances particulières : On pense notamment aux cas dans lesquels :</w:t>
      </w:r>
    </w:p>
    <w:p w:rsidRPr="00BD04F2" w:rsidR="00747052" w:rsidP="00930620" w:rsidRDefault="0001789F" w14:paraId="440CFA81" w14:textId="428A3C1C">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La </w:t>
      </w:r>
      <w:r w:rsidRPr="00BD04F2" w:rsidR="00747052">
        <w:rPr>
          <w:rFonts w:ascii="Verdana" w:hAnsi="Verdana"/>
          <w:szCs w:val="20"/>
          <w:lang w:val="fr-CH"/>
        </w:rPr>
        <w:t>situation clinique ou sociale est complexe</w:t>
      </w:r>
    </w:p>
    <w:p w:rsidRPr="00BD04F2" w:rsidR="00747052" w:rsidP="00930620" w:rsidRDefault="0001789F" w14:paraId="40F2EEB8" w14:textId="09E430DE">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L’état </w:t>
      </w:r>
      <w:r w:rsidRPr="00BD04F2" w:rsidR="00747052">
        <w:rPr>
          <w:rFonts w:ascii="Verdana" w:hAnsi="Verdana"/>
          <w:szCs w:val="20"/>
          <w:lang w:val="fr-CH"/>
        </w:rPr>
        <w:t>physique ou psychique du patient est préoccupant</w:t>
      </w:r>
    </w:p>
    <w:p w:rsidRPr="00BD04F2" w:rsidR="00747052" w:rsidP="00930620" w:rsidRDefault="0001789F" w14:paraId="42BCEA1A" w14:textId="59C99E50">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Le </w:t>
      </w:r>
      <w:r w:rsidRPr="00BD04F2" w:rsidR="00747052">
        <w:rPr>
          <w:rFonts w:ascii="Verdana" w:hAnsi="Verdana"/>
          <w:szCs w:val="20"/>
          <w:lang w:val="fr-CH"/>
        </w:rPr>
        <w:t>patient ne comprend pas ou refuse de comprendre (en raison de la langue ou de sa culture)</w:t>
      </w:r>
    </w:p>
    <w:p w:rsidRPr="00BD04F2" w:rsidR="00747052" w:rsidP="00930620" w:rsidRDefault="0001789F" w14:paraId="646DB871" w14:textId="5F002F2C">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Il </w:t>
      </w:r>
      <w:r w:rsidRPr="00BD04F2" w:rsidR="00747052">
        <w:rPr>
          <w:rFonts w:ascii="Verdana" w:hAnsi="Verdana"/>
          <w:szCs w:val="20"/>
          <w:lang w:val="fr-CH"/>
        </w:rPr>
        <w:t>y a un manque de temps.</w:t>
      </w:r>
    </w:p>
    <w:p w:rsidRPr="00BD04F2" w:rsidR="00747052" w:rsidP="00930620" w:rsidRDefault="0001789F" w14:paraId="6049AE73" w14:textId="22BCF794">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Il </w:t>
      </w:r>
      <w:r w:rsidRPr="00BD04F2" w:rsidR="00747052">
        <w:rPr>
          <w:rFonts w:ascii="Verdana" w:hAnsi="Verdana"/>
          <w:szCs w:val="20"/>
          <w:lang w:val="fr-CH"/>
        </w:rPr>
        <w:t>y a un manque d’expérience ou de compétence</w:t>
      </w:r>
    </w:p>
    <w:p w:rsidRPr="00BD04F2" w:rsidR="00747052" w:rsidP="00930620" w:rsidRDefault="0001789F" w14:paraId="05B66519" w14:textId="3A9811E1">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Cette </w:t>
      </w:r>
      <w:r w:rsidRPr="00BD04F2" w:rsidR="00747052">
        <w:rPr>
          <w:rFonts w:ascii="Verdana" w:hAnsi="Verdana"/>
          <w:szCs w:val="20"/>
          <w:lang w:val="fr-CH"/>
        </w:rPr>
        <w:t>obligation s’inscrit dans une organisation divisée du travail à l’hôpital</w:t>
      </w:r>
    </w:p>
    <w:p w:rsidRPr="00BD04F2" w:rsidR="00747052" w:rsidP="00930620" w:rsidRDefault="0001789F" w14:paraId="4151121A" w14:textId="58C84DF9">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Existe </w:t>
      </w:r>
      <w:r w:rsidRPr="00BD04F2" w:rsidR="00747052">
        <w:rPr>
          <w:rFonts w:ascii="Verdana" w:hAnsi="Verdana"/>
          <w:szCs w:val="20"/>
          <w:lang w:val="fr-CH"/>
        </w:rPr>
        <w:t>un défaut d’organisation</w:t>
      </w:r>
    </w:p>
    <w:p w:rsidRPr="00BD04F2" w:rsidR="00747052" w:rsidP="00930620" w:rsidRDefault="0001789F" w14:paraId="5E3034C1" w14:textId="781DE71B">
      <w:pPr>
        <w:pStyle w:val="Paragraphedeliste"/>
        <w:numPr>
          <w:ilvl w:val="0"/>
          <w:numId w:val="27"/>
        </w:numPr>
        <w:spacing w:before="120" w:after="120" w:line="276" w:lineRule="auto"/>
        <w:ind w:left="720"/>
        <w:jc w:val="both"/>
        <w:rPr>
          <w:rFonts w:ascii="Verdana" w:hAnsi="Verdana"/>
          <w:szCs w:val="20"/>
          <w:lang w:val="fr-CH"/>
        </w:rPr>
      </w:pPr>
      <w:r w:rsidRPr="00BD04F2">
        <w:rPr>
          <w:rFonts w:ascii="Verdana" w:hAnsi="Verdana"/>
          <w:szCs w:val="20"/>
          <w:lang w:val="fr-CH"/>
        </w:rPr>
        <w:t xml:space="preserve">On </w:t>
      </w:r>
      <w:r w:rsidRPr="00BD04F2" w:rsidR="00747052">
        <w:rPr>
          <w:rFonts w:ascii="Verdana" w:hAnsi="Verdana"/>
          <w:szCs w:val="20"/>
          <w:lang w:val="fr-CH"/>
        </w:rPr>
        <w:t>retrouve une difficulté personnelle à s’exprimer ou à communiquer</w:t>
      </w:r>
    </w:p>
    <w:p w:rsidRPr="00BD04F2" w:rsidR="00747052" w:rsidP="005C1669" w:rsidRDefault="00747052" w14:paraId="7A64AAA0" w14:textId="77777777">
      <w:pPr>
        <w:pStyle w:val="Titre3"/>
      </w:pPr>
      <w:bookmarkStart w:name="_Toc60210550" w:id="25"/>
      <w:bookmarkStart w:name="_Toc127619226" w:id="26"/>
      <w:r w:rsidRPr="00BD04F2">
        <w:t>Les conséquences d’une violation de l’obligation d’informer</w:t>
      </w:r>
      <w:bookmarkEnd w:id="25"/>
      <w:bookmarkEnd w:id="26"/>
    </w:p>
    <w:p w:rsidRPr="00BD04F2" w:rsidR="00747052" w:rsidP="00930620" w:rsidRDefault="00747052" w14:paraId="02F2A627" w14:textId="13982A0E">
      <w:pPr>
        <w:spacing w:before="120" w:after="120" w:line="276" w:lineRule="auto"/>
        <w:jc w:val="both"/>
        <w:rPr>
          <w:rFonts w:ascii="Verdana" w:hAnsi="Verdana"/>
          <w:szCs w:val="20"/>
          <w:lang w:val="fr-CH"/>
        </w:rPr>
      </w:pPr>
      <w:r w:rsidRPr="00BD04F2">
        <w:rPr>
          <w:rFonts w:ascii="Verdana" w:hAnsi="Verdana"/>
          <w:szCs w:val="20"/>
          <w:lang w:val="fr-CH"/>
        </w:rPr>
        <w:t xml:space="preserve">Sans </w:t>
      </w:r>
      <w:r w:rsidRPr="00BD04F2" w:rsidR="00882BFF">
        <w:rPr>
          <w:rFonts w:ascii="Verdana" w:hAnsi="Verdana"/>
          <w:szCs w:val="20"/>
          <w:lang w:val="fr-CH"/>
        </w:rPr>
        <w:t>le</w:t>
      </w:r>
      <w:r w:rsidRPr="00BD04F2">
        <w:rPr>
          <w:rFonts w:ascii="Verdana" w:hAnsi="Verdana"/>
          <w:szCs w:val="20"/>
          <w:lang w:val="fr-CH"/>
        </w:rPr>
        <w:t xml:space="preserve"> consentement</w:t>
      </w:r>
      <w:r w:rsidRPr="00BD04F2" w:rsidR="00882BFF">
        <w:rPr>
          <w:rFonts w:ascii="Verdana" w:hAnsi="Verdana"/>
          <w:szCs w:val="20"/>
          <w:lang w:val="fr-CH"/>
        </w:rPr>
        <w:t xml:space="preserve"> du patient</w:t>
      </w:r>
      <w:r w:rsidRPr="00BD04F2">
        <w:rPr>
          <w:rFonts w:ascii="Verdana" w:hAnsi="Verdana"/>
          <w:szCs w:val="20"/>
          <w:lang w:val="fr-CH"/>
        </w:rPr>
        <w:t xml:space="preserve">, </w:t>
      </w:r>
      <w:r w:rsidRPr="00BD04F2">
        <w:rPr>
          <w:rFonts w:ascii="Verdana" w:hAnsi="Verdana"/>
          <w:b/>
          <w:szCs w:val="20"/>
          <w:lang w:val="fr-CH"/>
        </w:rPr>
        <w:t>l’atteinte est illicite</w:t>
      </w:r>
      <w:r w:rsidRPr="00BD04F2">
        <w:rPr>
          <w:rFonts w:ascii="Verdana" w:hAnsi="Verdana"/>
          <w:szCs w:val="20"/>
          <w:lang w:val="fr-CH"/>
        </w:rPr>
        <w:t>. En effet, l’absence d’information complète entraîne automatiquement l’absence de consentement éclairé, ce qui entraîne l’illicéité de l’atteinte à l’intégrité (selon l’a</w:t>
      </w:r>
      <w:hyperlink w:history="1" w:anchor="art_28" r:id="rId26">
        <w:r w:rsidRPr="00BD04F2">
          <w:rPr>
            <w:rStyle w:val="Lienhypertexte"/>
            <w:rFonts w:ascii="Verdana" w:hAnsi="Verdana"/>
            <w:szCs w:val="20"/>
            <w:lang w:val="fr-CH"/>
          </w:rPr>
          <w:t>rt. 28 CC</w:t>
        </w:r>
      </w:hyperlink>
      <w:r w:rsidRPr="00BD04F2">
        <w:rPr>
          <w:rFonts w:ascii="Verdana" w:hAnsi="Verdana"/>
          <w:szCs w:val="20"/>
          <w:lang w:val="fr-CH"/>
        </w:rPr>
        <w:t>).</w:t>
      </w:r>
    </w:p>
    <w:p w:rsidRPr="00BD04F2" w:rsidR="00747052" w:rsidP="00930620" w:rsidRDefault="00747052" w14:paraId="00B8DF11" w14:textId="6F9BC351">
      <w:pPr>
        <w:spacing w:before="120" w:after="120" w:line="276" w:lineRule="auto"/>
        <w:jc w:val="both"/>
        <w:rPr>
          <w:rFonts w:ascii="Verdana" w:hAnsi="Verdana"/>
          <w:szCs w:val="20"/>
          <w:lang w:val="fr-CH"/>
        </w:rPr>
      </w:pPr>
      <w:r w:rsidRPr="00BD04F2">
        <w:rPr>
          <w:rFonts w:ascii="Verdana" w:hAnsi="Verdana"/>
          <w:szCs w:val="20"/>
          <w:lang w:val="fr-CH"/>
        </w:rPr>
        <w:t xml:space="preserve">Rappelons également que celui qui cause un dommage à autrui de façon illicite est tenu de le réparer, conformément à l’art. </w:t>
      </w:r>
      <w:hyperlink w:history="1" w:anchor="art_41" r:id="rId27">
        <w:r w:rsidRPr="00BD04F2">
          <w:rPr>
            <w:rStyle w:val="Lienhypertexte"/>
            <w:rFonts w:ascii="Verdana" w:hAnsi="Verdana"/>
            <w:szCs w:val="20"/>
            <w:lang w:val="fr-CH"/>
          </w:rPr>
          <w:t>41 CO</w:t>
        </w:r>
      </w:hyperlink>
      <w:r w:rsidRPr="00BD04F2">
        <w:rPr>
          <w:rFonts w:ascii="Verdana" w:hAnsi="Verdana"/>
          <w:szCs w:val="20"/>
          <w:lang w:val="fr-CH"/>
        </w:rPr>
        <w:t>.</w:t>
      </w:r>
      <w:r w:rsidRPr="00BD04F2" w:rsidR="001055D7">
        <w:rPr>
          <w:rFonts w:ascii="Verdana" w:hAnsi="Verdana"/>
          <w:szCs w:val="20"/>
          <w:lang w:val="fr-CH"/>
        </w:rPr>
        <w:t xml:space="preserve"> La violation par le médecin de son devoir d’informer le patient engage donc sa responsabilité civile et l’expose à devoir réparer le préjudice (physique, moral) découlant de l’intervention médicale effectuée.</w:t>
      </w:r>
    </w:p>
    <w:p w:rsidRPr="00BD04F2" w:rsidR="00747052" w:rsidP="00930620" w:rsidRDefault="00747052" w14:paraId="238B9E8E" w14:textId="77777777">
      <w:pPr>
        <w:spacing w:before="120" w:after="120" w:line="276" w:lineRule="auto"/>
        <w:jc w:val="both"/>
        <w:rPr>
          <w:rFonts w:ascii="Verdana" w:hAnsi="Verdana"/>
          <w:szCs w:val="20"/>
          <w:lang w:val="fr-CH"/>
        </w:rPr>
      </w:pPr>
      <w:r w:rsidRPr="00BD04F2">
        <w:rPr>
          <w:rFonts w:ascii="Verdana" w:hAnsi="Verdana"/>
          <w:szCs w:val="20"/>
          <w:lang w:val="fr-CH"/>
        </w:rPr>
        <w:t>En cas de violation de l’obligation d’informer, le geste fautif du médecin, la violation des règles de l’art ne doit pas être démontrée (cette preuve est en principe à la charge du lésé). Une expertise n’est donc pas nécessaire non plus pour faire toute la lumière sur ce qui s’est passé.</w:t>
      </w:r>
    </w:p>
    <w:p w:rsidRPr="00BD04F2" w:rsidR="00747052" w:rsidP="00930620" w:rsidRDefault="00747052" w14:paraId="64D3BC19" w14:textId="50A4E59C">
      <w:pPr>
        <w:spacing w:before="120" w:after="120" w:line="276" w:lineRule="auto"/>
        <w:jc w:val="both"/>
        <w:rPr>
          <w:rFonts w:ascii="Verdana" w:hAnsi="Verdana"/>
          <w:szCs w:val="20"/>
          <w:lang w:val="fr-CH"/>
        </w:rPr>
      </w:pPr>
      <w:r w:rsidRPr="00BD04F2">
        <w:rPr>
          <w:rFonts w:ascii="Verdana" w:hAnsi="Verdana"/>
          <w:szCs w:val="20"/>
          <w:lang w:val="fr-CH"/>
        </w:rPr>
        <w:t xml:space="preserve">Le TF s’est penché sur la question de la preuve du consentement hypothétique à </w:t>
      </w:r>
      <w:hyperlink w:history="1" r:id="rId28">
        <w:r w:rsidRPr="00BD04F2" w:rsidR="0001789F">
          <w:rPr>
            <w:rStyle w:val="Lienhypertexte"/>
            <w:rFonts w:ascii="Verdana" w:hAnsi="Verdana"/>
            <w:szCs w:val="20"/>
            <w:lang w:val="fr-CH"/>
          </w:rPr>
          <w:t>l’</w:t>
        </w:r>
        <w:r w:rsidRPr="00BD04F2" w:rsidR="00680D0D">
          <w:rPr>
            <w:rStyle w:val="Lienhypertexte"/>
            <w:rFonts w:ascii="Verdana" w:hAnsi="Verdana"/>
            <w:szCs w:val="20"/>
            <w:lang w:val="fr-CH"/>
          </w:rPr>
          <w:t xml:space="preserve">ATF </w:t>
        </w:r>
        <w:r w:rsidRPr="00BD04F2">
          <w:rPr>
            <w:rStyle w:val="Lienhypertexte"/>
            <w:rFonts w:ascii="Verdana" w:hAnsi="Verdana"/>
            <w:szCs w:val="20"/>
            <w:lang w:val="fr-CH"/>
          </w:rPr>
          <w:t>117 I</w:t>
        </w:r>
        <w:r w:rsidRPr="00BD04F2" w:rsidR="005E5F08">
          <w:rPr>
            <w:rStyle w:val="Lienhypertexte"/>
            <w:rFonts w:ascii="Verdana" w:hAnsi="Verdana"/>
            <w:szCs w:val="20"/>
            <w:lang w:val="fr-CH"/>
          </w:rPr>
          <w:t>B</w:t>
        </w:r>
        <w:r w:rsidRPr="00BD04F2">
          <w:rPr>
            <w:rStyle w:val="Lienhypertexte"/>
            <w:rFonts w:ascii="Verdana" w:hAnsi="Verdana"/>
            <w:szCs w:val="20"/>
            <w:lang w:val="fr-CH"/>
          </w:rPr>
          <w:t xml:space="preserve"> 197</w:t>
        </w:r>
      </w:hyperlink>
      <w:r w:rsidRPr="00BD04F2">
        <w:rPr>
          <w:rFonts w:ascii="Verdana" w:hAnsi="Verdana"/>
          <w:szCs w:val="20"/>
          <w:lang w:val="fr-CH"/>
        </w:rPr>
        <w:t> : Le critère déterminant est celui du patient au cas concret (et non pas de façon abstraite). Le juge se demande ce que le patient au cas concret aurait décidé s’il avait été informé de façon complète). En tous les cas, le TF confirme clairement que le consentement hypothétique n’est jamais admis lorsque le genre et la gravité du risque justifiait un besoin accru d’informations.</w:t>
      </w:r>
    </w:p>
    <w:p w:rsidRPr="00BD04F2" w:rsidR="00747052" w:rsidP="00C102D2" w:rsidRDefault="00747052" w14:paraId="29E3EAC4" w14:textId="77777777">
      <w:pPr>
        <w:pStyle w:val="Titre2"/>
      </w:pPr>
      <w:bookmarkStart w:name="_Toc60210551" w:id="27"/>
      <w:bookmarkStart w:name="_Toc127619227" w:id="28"/>
      <w:r w:rsidRPr="00BD04F2">
        <w:t>L’obligation d’obtenir le consentement du patient</w:t>
      </w:r>
      <w:bookmarkEnd w:id="27"/>
      <w:bookmarkEnd w:id="28"/>
    </w:p>
    <w:p w:rsidRPr="00BD04F2" w:rsidR="00747052" w:rsidP="005C1669" w:rsidRDefault="00747052" w14:paraId="27B23952" w14:textId="54C8A8F3">
      <w:pPr>
        <w:pStyle w:val="Titre3"/>
        <w:numPr>
          <w:ilvl w:val="2"/>
          <w:numId w:val="49"/>
        </w:numPr>
      </w:pPr>
      <w:bookmarkStart w:name="_Toc60210552" w:id="29"/>
      <w:bookmarkStart w:name="_Toc127619228" w:id="30"/>
      <w:r w:rsidRPr="00BD04F2">
        <w:t>Le principe</w:t>
      </w:r>
      <w:bookmarkEnd w:id="29"/>
      <w:bookmarkEnd w:id="30"/>
    </w:p>
    <w:p w:rsidRPr="00BD04F2" w:rsidR="00747052" w:rsidP="00930620" w:rsidRDefault="00747052" w14:paraId="7B4DC9A4"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Comme nous l’avons vu, le médecin est tenu d’obtenir le consentement du patient. Celui-ci est en principe libre de refuser. Sauf exception, aucun soin ne peut être fourni sans le consentement libre et éclairé du patient capable de discernement. Nous aborderons ci-après ces trois conditions.</w:t>
      </w:r>
    </w:p>
    <w:p w:rsidRPr="00BD04F2" w:rsidR="00247EA3" w:rsidP="00930620" w:rsidRDefault="00247EA3" w14:paraId="3CFEC64D" w14:textId="7D1C53EF">
      <w:p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consentement libre et éclairé (</w:t>
      </w:r>
      <w:r w:rsidRPr="00BD04F2">
        <w:rPr>
          <w:rFonts w:ascii="Verdana" w:hAnsi="Verdana" w:cstheme="minorHAnsi"/>
          <w:i/>
          <w:szCs w:val="20"/>
          <w:lang w:val="fr-CH"/>
        </w:rPr>
        <w:t>informed consen</w:t>
      </w:r>
      <w:r w:rsidRPr="00BD04F2" w:rsidR="00F52FE3">
        <w:rPr>
          <w:rFonts w:ascii="Verdana" w:hAnsi="Verdana" w:cstheme="minorHAnsi"/>
          <w:i/>
          <w:szCs w:val="20"/>
          <w:lang w:val="fr-CH"/>
        </w:rPr>
        <w:t>t</w:t>
      </w:r>
      <w:r w:rsidRPr="00BD04F2">
        <w:rPr>
          <w:rFonts w:ascii="Verdana" w:hAnsi="Verdana" w:cstheme="minorHAnsi"/>
          <w:szCs w:val="20"/>
          <w:lang w:val="fr-CH"/>
        </w:rPr>
        <w:t>) constitue aujourd’hui la clé de voûte des relations entre professionnels de la santé et patients.</w:t>
      </w:r>
    </w:p>
    <w:p w:rsidRPr="00BD04F2" w:rsidR="00247EA3" w:rsidP="00930620" w:rsidRDefault="00247EA3" w14:paraId="489262FE" w14:textId="77777777">
      <w:p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La notion de consentement éclairé marque aussi la transition d’un modèle vertical de relation médecin-patient, fondé sur le paternalisme et le savoir médical exclusif, à un modèle horizontal de relation médecin-patient, construit sur la concertation et le partage d’information.</w:t>
      </w:r>
    </w:p>
    <w:p w:rsidRPr="00BD04F2" w:rsidR="00247EA3" w:rsidP="00930620" w:rsidRDefault="00247EA3" w14:paraId="366CE005" w14:textId="77777777">
      <w:p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 xml:space="preserve">Dans la mesure où le concept de consentement libre et éclairé dérive du principe d’autonomie (ou de liberté de décision), on préfère lui substituer l’appellation de choix libre et éclairé ou choix </w:t>
      </w:r>
      <w:r w:rsidRPr="00BD04F2">
        <w:rPr>
          <w:rFonts w:ascii="Verdana" w:hAnsi="Verdana" w:cstheme="minorHAnsi"/>
          <w:szCs w:val="20"/>
          <w:lang w:val="fr-CH"/>
        </w:rPr>
        <w:t xml:space="preserve">éclairé. En effet, ce que le droit veut garantir, c’est la liberté du patient d’accepter ou de refuser les traitements qui lui sont proposés, après avoir reçu toutes les informations lui permettant d’éclairer sa décision. Il est donc préférable de parler de « choix » plutôt que de « consentement ». </w:t>
      </w:r>
    </w:p>
    <w:p w:rsidRPr="00BD04F2" w:rsidR="00747052" w:rsidP="00930620" w:rsidRDefault="00747052" w14:paraId="2DBD1554" w14:textId="6513A78C">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Le consentement est donc un « fait justificatif » à l’atteinte à l’intégrité corporelle que représente une intervention médicale touchant une partie du corps ou qui lèse ou diminue, de manière non négligeable et au moins temporairement, les aptitudes ou le bien-être physique du patient (</w:t>
      </w:r>
      <w:hyperlink w:history="1" r:id="rId29">
        <w:r w:rsidRPr="00BD04F2">
          <w:rPr>
            <w:rStyle w:val="Lienhypertexte"/>
            <w:rFonts w:ascii="Verdana" w:hAnsi="Verdana" w:cstheme="majorHAnsi"/>
            <w:szCs w:val="20"/>
            <w:lang w:val="fr-CH"/>
          </w:rPr>
          <w:t>ATF 6B.896/2010</w:t>
        </w:r>
      </w:hyperlink>
      <w:r w:rsidRPr="00BD04F2">
        <w:rPr>
          <w:rFonts w:ascii="Verdana" w:hAnsi="Verdana" w:cstheme="majorHAnsi"/>
          <w:color w:val="000000"/>
          <w:szCs w:val="20"/>
          <w:lang w:val="fr-CH"/>
        </w:rPr>
        <w:t>). Le consentement s’entend comme la légitimation des soins qui seront prodigués. On voit bien ici la différence entre cette situation et celle où une personne est victime d’une attaque au couteau. Dans cette situation, il n’y a pas d’intention partagée.</w:t>
      </w:r>
    </w:p>
    <w:p w:rsidRPr="00BD04F2" w:rsidR="00747052" w:rsidP="00930620" w:rsidRDefault="00747052" w14:paraId="6675E729" w14:textId="77777777">
      <w:pPr>
        <w:pStyle w:val="Flietext"/>
        <w:numPr>
          <w:ilvl w:val="0"/>
          <w:numId w:val="27"/>
        </w:numPr>
        <w:spacing w:before="120" w:after="120" w:line="276" w:lineRule="auto"/>
        <w:jc w:val="both"/>
        <w:rPr>
          <w:rFonts w:ascii="Verdana" w:hAnsi="Verdana"/>
          <w:szCs w:val="20"/>
          <w:lang w:val="fr-CH"/>
        </w:rPr>
      </w:pPr>
      <w:r w:rsidRPr="00BD04F2">
        <w:rPr>
          <w:rFonts w:ascii="Verdana" w:hAnsi="Verdana"/>
          <w:b/>
          <w:szCs w:val="20"/>
          <w:lang w:val="fr-CH"/>
        </w:rPr>
        <w:t>Consentement libre</w:t>
      </w:r>
      <w:r w:rsidRPr="00BD04F2" w:rsidR="00061C97">
        <w:rPr>
          <w:rFonts w:ascii="Verdana" w:hAnsi="Verdana"/>
          <w:szCs w:val="20"/>
          <w:lang w:val="fr-CH"/>
        </w:rPr>
        <w:t xml:space="preserve"> : </w:t>
      </w:r>
      <w:r w:rsidRPr="00BD04F2">
        <w:rPr>
          <w:rFonts w:ascii="Verdana" w:hAnsi="Verdana" w:cstheme="majorHAnsi"/>
          <w:color w:val="000000"/>
          <w:szCs w:val="20"/>
          <w:lang w:val="fr-CH"/>
        </w:rPr>
        <w:t>Le consentement doit être donné en l’absence de toute contrainte ou de manœuvre dolosive (qui porte atteinte au patient)</w:t>
      </w:r>
      <w:r w:rsidRPr="00BD04F2" w:rsidR="00416DC0">
        <w:rPr>
          <w:rFonts w:ascii="Verdana" w:hAnsi="Verdana" w:cstheme="majorHAnsi"/>
          <w:color w:val="000000"/>
          <w:szCs w:val="20"/>
          <w:lang w:val="fr-CH"/>
        </w:rPr>
        <w:t>.</w:t>
      </w:r>
    </w:p>
    <w:p w:rsidRPr="00BD04F2" w:rsidR="00747052" w:rsidP="00930620" w:rsidRDefault="00747052" w14:paraId="5431FCEA" w14:textId="77777777">
      <w:pPr>
        <w:pStyle w:val="Flietext"/>
        <w:numPr>
          <w:ilvl w:val="0"/>
          <w:numId w:val="27"/>
        </w:numPr>
        <w:spacing w:before="120" w:after="120" w:line="276" w:lineRule="auto"/>
        <w:jc w:val="both"/>
        <w:rPr>
          <w:rFonts w:ascii="Verdana" w:hAnsi="Verdana"/>
          <w:szCs w:val="20"/>
          <w:lang w:val="fr-CH"/>
        </w:rPr>
      </w:pPr>
      <w:r w:rsidRPr="00BD04F2">
        <w:rPr>
          <w:rFonts w:ascii="Verdana" w:hAnsi="Verdana"/>
          <w:b/>
          <w:szCs w:val="20"/>
          <w:lang w:val="fr-CH"/>
        </w:rPr>
        <w:t>Consentement éclairé</w:t>
      </w:r>
      <w:r w:rsidRPr="00BD04F2" w:rsidR="00061C97">
        <w:rPr>
          <w:rFonts w:ascii="Verdana" w:hAnsi="Verdana"/>
          <w:szCs w:val="20"/>
          <w:lang w:val="fr-CH"/>
        </w:rPr>
        <w:t xml:space="preserve"> : </w:t>
      </w:r>
      <w:r w:rsidRPr="00BD04F2">
        <w:rPr>
          <w:rFonts w:ascii="Verdana" w:hAnsi="Verdana" w:cstheme="majorHAnsi"/>
          <w:color w:val="000000"/>
          <w:szCs w:val="20"/>
          <w:lang w:val="fr-CH"/>
        </w:rPr>
        <w:t>Le consentement est éclairé lorsque le patient reçoit toutes les informations pertinentes à son choix</w:t>
      </w:r>
      <w:r w:rsidRPr="00BD04F2" w:rsidR="00416DC0">
        <w:rPr>
          <w:rFonts w:ascii="Verdana" w:hAnsi="Verdana" w:cstheme="majorHAnsi"/>
          <w:color w:val="000000"/>
          <w:szCs w:val="20"/>
          <w:lang w:val="fr-CH"/>
        </w:rPr>
        <w:t>.</w:t>
      </w:r>
    </w:p>
    <w:p w:rsidRPr="00BD04F2" w:rsidR="00E21C14" w:rsidRDefault="00E21C14" w14:paraId="28ECEA7F" w14:textId="77777777">
      <w:pPr>
        <w:rPr>
          <w:rFonts w:ascii="Verdana" w:hAnsi="Verdana" w:eastAsiaTheme="majorEastAsia" w:cstheme="majorBidi"/>
          <w:b/>
          <w:bCs/>
          <w:caps/>
          <w:color w:val="638AAB"/>
          <w:szCs w:val="20"/>
          <w:lang w:val="fr-CH"/>
        </w:rPr>
      </w:pPr>
      <w:bookmarkStart w:name="_Toc60210553" w:id="31"/>
      <w:r w:rsidRPr="00BD04F2">
        <w:rPr>
          <w:rFonts w:ascii="Verdana" w:hAnsi="Verdana"/>
          <w:szCs w:val="20"/>
          <w:lang w:val="fr-CH"/>
        </w:rPr>
        <w:br w:type="page"/>
      </w:r>
    </w:p>
    <w:p w:rsidRPr="00BD04F2" w:rsidR="00747052" w:rsidP="002E7C46" w:rsidRDefault="00747052" w14:paraId="1CC081DD" w14:textId="67E3CAEE">
      <w:pPr>
        <w:pStyle w:val="Titre1"/>
      </w:pPr>
      <w:bookmarkStart w:name="_Toc127619229" w:id="32"/>
      <w:r w:rsidRPr="00BD04F2">
        <w:t>La capacité de discernement</w:t>
      </w:r>
      <w:bookmarkEnd w:id="31"/>
      <w:bookmarkEnd w:id="32"/>
    </w:p>
    <w:p w:rsidRPr="00BD04F2" w:rsidR="00747052" w:rsidP="00930620" w:rsidRDefault="00747052" w14:paraId="2042C17F" w14:textId="4C0762AA">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La capacité de discernement doit être comprise comme la faculté d’agir raisonnablement. Il s’agit d’une définition par la négative de l’</w:t>
      </w:r>
      <w:hyperlink w:history="1" w:anchor="art_16" r:id="rId30">
        <w:r w:rsidRPr="00BD04F2">
          <w:rPr>
            <w:rStyle w:val="Lienhypertexte"/>
            <w:rFonts w:ascii="Verdana" w:hAnsi="Verdana" w:cstheme="majorHAnsi"/>
            <w:szCs w:val="20"/>
            <w:lang w:val="fr-CH"/>
          </w:rPr>
          <w:t>art. 16 CC</w:t>
        </w:r>
      </w:hyperlink>
      <w:r w:rsidRPr="00BD04F2">
        <w:rPr>
          <w:rFonts w:ascii="Verdana" w:hAnsi="Verdana" w:cstheme="majorHAnsi"/>
          <w:color w:val="000000"/>
          <w:szCs w:val="20"/>
          <w:lang w:val="fr-CH"/>
        </w:rPr>
        <w:t>).</w:t>
      </w:r>
    </w:p>
    <w:p w:rsidRPr="00BD04F2" w:rsidR="00747052" w:rsidP="00930620" w:rsidRDefault="00747052" w14:paraId="3C05E02E" w14:textId="77777777">
      <w:pPr>
        <w:autoSpaceDE w:val="0"/>
        <w:autoSpaceDN w:val="0"/>
        <w:adjustRightInd w:val="0"/>
        <w:spacing w:before="120" w:after="120" w:line="276" w:lineRule="auto"/>
        <w:jc w:val="both"/>
        <w:rPr>
          <w:rFonts w:ascii="Verdana" w:hAnsi="Verdana" w:cstheme="majorHAnsi"/>
          <w:color w:val="000000"/>
          <w:szCs w:val="20"/>
          <w:lang w:val="fr-CH"/>
        </w:rPr>
      </w:pPr>
    </w:p>
    <w:p w:rsidRPr="00BD04F2" w:rsidR="00747052" w:rsidP="00930620" w:rsidRDefault="00747052" w14:paraId="487623A5"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La capacité de discernement comporte deux aspects :</w:t>
      </w:r>
    </w:p>
    <w:p w:rsidRPr="00BD04F2" w:rsidR="00747052" w:rsidP="00930620" w:rsidRDefault="00747052" w14:paraId="77425019"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w:t>
      </w:r>
      <w:r w:rsidRPr="00BD04F2">
        <w:rPr>
          <w:rFonts w:ascii="Verdana" w:hAnsi="Verdana" w:cstheme="majorHAnsi"/>
          <w:color w:val="000000"/>
          <w:szCs w:val="20"/>
          <w:lang w:val="fr-CH"/>
        </w:rPr>
        <w:tab/>
      </w:r>
      <w:r w:rsidRPr="00BD04F2" w:rsidR="0008315C">
        <w:rPr>
          <w:rFonts w:ascii="Verdana" w:hAnsi="Verdana" w:cstheme="majorHAnsi"/>
          <w:color w:val="000000"/>
          <w:szCs w:val="20"/>
          <w:lang w:val="fr-CH"/>
        </w:rPr>
        <w:t>u</w:t>
      </w:r>
      <w:r w:rsidRPr="00BD04F2">
        <w:rPr>
          <w:rFonts w:ascii="Verdana" w:hAnsi="Verdana" w:cstheme="majorHAnsi"/>
          <w:color w:val="000000"/>
          <w:szCs w:val="20"/>
          <w:lang w:val="fr-CH"/>
        </w:rPr>
        <w:t>n aspect intellectuel : la faculté d’apprécier le sens ou la portée d’un acte</w:t>
      </w:r>
    </w:p>
    <w:p w:rsidRPr="00BD04F2" w:rsidR="00747052" w:rsidP="00930620" w:rsidRDefault="00747052" w14:paraId="4607C325"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w:t>
      </w:r>
      <w:r w:rsidRPr="00BD04F2">
        <w:rPr>
          <w:rFonts w:ascii="Verdana" w:hAnsi="Verdana" w:cstheme="majorHAnsi"/>
          <w:color w:val="000000"/>
          <w:szCs w:val="20"/>
          <w:lang w:val="fr-CH"/>
        </w:rPr>
        <w:tab/>
      </w:r>
      <w:r w:rsidRPr="00BD04F2" w:rsidR="0008315C">
        <w:rPr>
          <w:rFonts w:ascii="Verdana" w:hAnsi="Verdana" w:cstheme="majorHAnsi"/>
          <w:color w:val="000000"/>
          <w:szCs w:val="20"/>
          <w:lang w:val="fr-CH"/>
        </w:rPr>
        <w:t>u</w:t>
      </w:r>
      <w:r w:rsidRPr="00BD04F2">
        <w:rPr>
          <w:rFonts w:ascii="Verdana" w:hAnsi="Verdana" w:cstheme="majorHAnsi"/>
          <w:color w:val="000000"/>
          <w:szCs w:val="20"/>
          <w:lang w:val="fr-CH"/>
        </w:rPr>
        <w:t>n aspect volitif : la faculté de se déterminer par rapport à cet acte</w:t>
      </w:r>
    </w:p>
    <w:p w:rsidRPr="00BD04F2" w:rsidR="00747052" w:rsidP="00930620" w:rsidRDefault="00747052" w14:paraId="61EA0FC6" w14:textId="16E55084">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 xml:space="preserve">La capacité de discernement est présumée. Elle s’apprécie toujours dans le cas concret, i.e. </w:t>
      </w:r>
      <w:r w:rsidRPr="00BD04F2" w:rsidR="0001789F">
        <w:rPr>
          <w:rFonts w:ascii="Verdana" w:hAnsi="Verdana" w:cstheme="majorHAnsi"/>
          <w:color w:val="000000"/>
          <w:szCs w:val="20"/>
          <w:lang w:val="fr-CH"/>
        </w:rPr>
        <w:t xml:space="preserve">Pour </w:t>
      </w:r>
      <w:r w:rsidRPr="00BD04F2">
        <w:rPr>
          <w:rFonts w:ascii="Verdana" w:hAnsi="Verdana" w:cstheme="majorHAnsi"/>
          <w:color w:val="000000"/>
          <w:szCs w:val="20"/>
          <w:lang w:val="fr-CH"/>
        </w:rPr>
        <w:t>une question donnée et à un moment donné. Le médecin dispose naturellement d’une expertise pour se forger une opinion sur la capacité de discernement. Si la capacité est examinée au cas concret, cela revient à dire aussi que cette capacité peut évoluer dans le temps, et ceci de façon très rapide. Il n’y a pas non plus de demi-mesure. La capacité est pleine et entière. Elle ne peut pas être partielle.</w:t>
      </w:r>
    </w:p>
    <w:p w:rsidRPr="00BD04F2" w:rsidR="00747052" w:rsidP="00930620" w:rsidRDefault="00747052" w14:paraId="283EEEB9"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L’incapacité de discernement n’est pas liée à la minorité civique ni à la curatelle de portée générale.</w:t>
      </w:r>
    </w:p>
    <w:p w:rsidRPr="00BD04F2" w:rsidR="00747052" w:rsidP="002E7C46" w:rsidRDefault="00747052" w14:paraId="1158F844" w14:textId="77777777">
      <w:pPr>
        <w:pStyle w:val="Titre1"/>
      </w:pPr>
      <w:bookmarkStart w:name="_Toc60210554" w:id="33"/>
      <w:bookmarkStart w:name="_Toc127619230" w:id="34"/>
      <w:r w:rsidRPr="00BD04F2">
        <w:t>La représentation des personnes incapables de discernement</w:t>
      </w:r>
      <w:bookmarkEnd w:id="33"/>
      <w:bookmarkEnd w:id="34"/>
    </w:p>
    <w:p w:rsidRPr="00BD04F2" w:rsidR="00747052" w:rsidP="00930620" w:rsidRDefault="00747052" w14:paraId="1D390001" w14:textId="0566705B">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Pour le patient mineur : ses représentants légaux sont en principe son père et sa mère, pour autant qu’ils aient tous les deux l’autorité parentale (</w:t>
      </w:r>
      <w:hyperlink w:history="1" w:anchor="art_304" r:id="rId31">
        <w:r w:rsidRPr="00BD04F2">
          <w:rPr>
            <w:rStyle w:val="Lienhypertexte"/>
            <w:rFonts w:ascii="Verdana" w:hAnsi="Verdana" w:cstheme="majorHAnsi"/>
            <w:szCs w:val="20"/>
            <w:lang w:val="fr-CH"/>
          </w:rPr>
          <w:t>304s CC</w:t>
        </w:r>
      </w:hyperlink>
      <w:r w:rsidRPr="00BD04F2">
        <w:rPr>
          <w:rFonts w:ascii="Verdana" w:hAnsi="Verdana" w:cstheme="majorHAnsi"/>
          <w:color w:val="000000"/>
          <w:szCs w:val="20"/>
          <w:lang w:val="fr-CH"/>
        </w:rPr>
        <w:t>).</w:t>
      </w:r>
    </w:p>
    <w:p w:rsidRPr="00BD04F2" w:rsidR="00747052" w:rsidP="00930620" w:rsidRDefault="00747052" w14:paraId="5E199B6A" w14:textId="325B2213">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 xml:space="preserve">Pour le patient majeur incapable de discernement, la représentation dans le domaine médical est réglée de façon très détaillée avec le nouveau droit de la protection de l’adulte (art. </w:t>
      </w:r>
      <w:hyperlink w:history="1" w:anchor="art_377" r:id="rId32">
        <w:r w:rsidRPr="00BD04F2">
          <w:rPr>
            <w:rStyle w:val="Lienhypertexte"/>
            <w:rFonts w:ascii="Verdana" w:hAnsi="Verdana" w:cstheme="majorHAnsi"/>
            <w:szCs w:val="20"/>
            <w:lang w:val="fr-CH"/>
          </w:rPr>
          <w:t>377ss CC</w:t>
        </w:r>
      </w:hyperlink>
      <w:r w:rsidRPr="00BD04F2">
        <w:rPr>
          <w:rFonts w:ascii="Verdana" w:hAnsi="Verdana" w:cstheme="majorHAnsi"/>
          <w:color w:val="000000"/>
          <w:szCs w:val="20"/>
          <w:lang w:val="fr-CH"/>
        </w:rPr>
        <w:t>).</w:t>
      </w:r>
    </w:p>
    <w:p w:rsidRPr="00BD04F2" w:rsidR="00E930EB" w:rsidP="00930620" w:rsidRDefault="0001789F" w14:paraId="281B9A13" w14:textId="3F1F62EF">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La </w:t>
      </w:r>
      <w:r w:rsidRPr="00BD04F2" w:rsidR="00E930EB">
        <w:rPr>
          <w:rFonts w:ascii="Verdana" w:hAnsi="Verdana" w:cstheme="majorHAnsi"/>
          <w:szCs w:val="20"/>
          <w:lang w:val="fr-CH"/>
        </w:rPr>
        <w:t>personne désignée dans les directives anticipées ou dans un mandat pour cause d’inaptitude,</w:t>
      </w:r>
    </w:p>
    <w:p w:rsidRPr="00BD04F2" w:rsidR="00E930EB" w:rsidP="00930620" w:rsidRDefault="0001789F" w14:paraId="45F287D2" w14:textId="0DAC43D5">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Le </w:t>
      </w:r>
      <w:r w:rsidRPr="00BD04F2" w:rsidR="00E930EB">
        <w:rPr>
          <w:rFonts w:ascii="Verdana" w:hAnsi="Verdana" w:cstheme="majorHAnsi"/>
          <w:szCs w:val="20"/>
          <w:lang w:val="fr-CH"/>
        </w:rPr>
        <w:t>curateur qui a pour tâche de la représenter dans le domaine médical,</w:t>
      </w:r>
    </w:p>
    <w:p w:rsidRPr="00BD04F2" w:rsidR="00E930EB" w:rsidP="00930620" w:rsidRDefault="0001789F" w14:paraId="0451509E" w14:textId="7E7DBC06">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Son </w:t>
      </w:r>
      <w:r w:rsidRPr="00BD04F2" w:rsidR="00E930EB">
        <w:rPr>
          <w:rFonts w:ascii="Verdana" w:hAnsi="Verdana" w:cstheme="majorHAnsi"/>
          <w:szCs w:val="20"/>
          <w:lang w:val="fr-CH"/>
        </w:rPr>
        <w:t>conjoint ou son partenaire enregistré, s’il fait ménage commun avec elle ou s’il lui fournit une assistance personnelle régulière,</w:t>
      </w:r>
    </w:p>
    <w:p w:rsidRPr="00BD04F2" w:rsidR="00E930EB" w:rsidP="00930620" w:rsidRDefault="0001789F" w14:paraId="3E8E8242" w14:textId="66667BA4">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La </w:t>
      </w:r>
      <w:r w:rsidRPr="00BD04F2" w:rsidR="00E930EB">
        <w:rPr>
          <w:rFonts w:ascii="Verdana" w:hAnsi="Verdana" w:cstheme="majorHAnsi"/>
          <w:szCs w:val="20"/>
          <w:lang w:val="fr-CH"/>
        </w:rPr>
        <w:t>personne qui fait ménage commun avec elle et qui lui fournit une assistance personnelle régulière,</w:t>
      </w:r>
    </w:p>
    <w:p w:rsidRPr="00BD04F2" w:rsidR="00E930EB" w:rsidP="00930620" w:rsidRDefault="0001789F" w14:paraId="7C27F50A" w14:textId="5E36B7DB">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Ses </w:t>
      </w:r>
      <w:r w:rsidRPr="00BD04F2" w:rsidR="00E930EB">
        <w:rPr>
          <w:rFonts w:ascii="Verdana" w:hAnsi="Verdana" w:cstheme="majorHAnsi"/>
          <w:szCs w:val="20"/>
          <w:lang w:val="fr-CH"/>
        </w:rPr>
        <w:t>descendants, s’ils lui fournissent une assistance personnelle régulière,</w:t>
      </w:r>
    </w:p>
    <w:p w:rsidRPr="00BD04F2" w:rsidR="00E930EB" w:rsidP="00930620" w:rsidRDefault="0001789F" w14:paraId="23F08362" w14:textId="2A597AE4">
      <w:pPr>
        <w:pStyle w:val="Paragraphedeliste"/>
        <w:numPr>
          <w:ilvl w:val="0"/>
          <w:numId w:val="27"/>
        </w:numPr>
        <w:autoSpaceDE w:val="0"/>
        <w:autoSpaceDN w:val="0"/>
        <w:adjustRightInd w:val="0"/>
        <w:spacing w:before="120" w:after="120" w:line="276" w:lineRule="auto"/>
        <w:ind w:left="720"/>
        <w:jc w:val="both"/>
        <w:rPr>
          <w:rFonts w:ascii="Verdana" w:hAnsi="Verdana" w:cstheme="majorHAnsi"/>
          <w:szCs w:val="20"/>
          <w:lang w:val="fr-CH"/>
        </w:rPr>
      </w:pPr>
      <w:r w:rsidRPr="00BD04F2">
        <w:rPr>
          <w:rFonts w:ascii="Verdana" w:hAnsi="Verdana" w:cstheme="majorHAnsi"/>
          <w:szCs w:val="20"/>
          <w:lang w:val="fr-CH"/>
        </w:rPr>
        <w:t xml:space="preserve">Ses </w:t>
      </w:r>
      <w:r w:rsidRPr="00BD04F2" w:rsidR="00E930EB">
        <w:rPr>
          <w:rFonts w:ascii="Verdana" w:hAnsi="Verdana" w:cstheme="majorHAnsi"/>
          <w:szCs w:val="20"/>
          <w:lang w:val="fr-CH"/>
        </w:rPr>
        <w:t xml:space="preserve">père et mère, s’ils lui fournissent une assistance personnelle régulière, </w:t>
      </w:r>
    </w:p>
    <w:p w:rsidRPr="00BD04F2" w:rsidR="00E930EB" w:rsidP="00930620" w:rsidRDefault="0001789F" w14:paraId="5CED1F17" w14:textId="66395C17">
      <w:pPr>
        <w:pStyle w:val="Paragraphedeliste"/>
        <w:numPr>
          <w:ilvl w:val="0"/>
          <w:numId w:val="27"/>
        </w:numPr>
        <w:autoSpaceDE w:val="0"/>
        <w:autoSpaceDN w:val="0"/>
        <w:adjustRightInd w:val="0"/>
        <w:spacing w:before="120" w:after="120" w:line="276" w:lineRule="auto"/>
        <w:ind w:left="720"/>
        <w:jc w:val="both"/>
        <w:rPr>
          <w:rFonts w:ascii="Verdana" w:hAnsi="Verdana" w:cstheme="majorHAnsi"/>
          <w:color w:val="000000"/>
          <w:szCs w:val="20"/>
          <w:lang w:val="fr-CH"/>
        </w:rPr>
      </w:pPr>
      <w:r w:rsidRPr="00BD04F2">
        <w:rPr>
          <w:rFonts w:ascii="Verdana" w:hAnsi="Verdana" w:cstheme="majorHAnsi"/>
          <w:szCs w:val="20"/>
          <w:lang w:val="fr-CH"/>
        </w:rPr>
        <w:t xml:space="preserve">Ses </w:t>
      </w:r>
      <w:r w:rsidRPr="00BD04F2" w:rsidR="00E930EB">
        <w:rPr>
          <w:rFonts w:ascii="Verdana" w:hAnsi="Verdana" w:cstheme="majorHAnsi"/>
          <w:szCs w:val="20"/>
          <w:lang w:val="fr-CH"/>
        </w:rPr>
        <w:t xml:space="preserve">frères et </w:t>
      </w:r>
      <w:r w:rsidRPr="00BD04F2" w:rsidR="003E4FCE">
        <w:rPr>
          <w:rFonts w:ascii="Verdana" w:hAnsi="Verdana" w:cstheme="majorHAnsi"/>
          <w:szCs w:val="20"/>
          <w:lang w:val="fr-CH"/>
        </w:rPr>
        <w:t>sœurs</w:t>
      </w:r>
      <w:r w:rsidRPr="00BD04F2" w:rsidR="00E930EB">
        <w:rPr>
          <w:rFonts w:ascii="Verdana" w:hAnsi="Verdana" w:cstheme="majorHAnsi"/>
          <w:szCs w:val="20"/>
          <w:lang w:val="fr-CH"/>
        </w:rPr>
        <w:t>, s’ils lui fournissent une assistance personnelle régulière.</w:t>
      </w:r>
    </w:p>
    <w:p w:rsidRPr="00BD04F2" w:rsidR="00747052" w:rsidP="00930620" w:rsidRDefault="00747052" w14:paraId="05520092" w14:textId="32A24356">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 xml:space="preserve">S’il n’y a pas de représentant au sens de l’art. </w:t>
      </w:r>
      <w:hyperlink w:history="1" w:anchor="art_378" r:id="rId33">
        <w:r w:rsidRPr="00263242">
          <w:rPr>
            <w:rStyle w:val="Lienhypertexte"/>
            <w:rFonts w:ascii="Verdana" w:hAnsi="Verdana" w:cstheme="majorHAnsi"/>
            <w:szCs w:val="20"/>
            <w:lang w:val="fr-CH"/>
          </w:rPr>
          <w:t xml:space="preserve">378 </w:t>
        </w:r>
        <w:r w:rsidRPr="00263242" w:rsidR="00061C97">
          <w:rPr>
            <w:rStyle w:val="Lienhypertexte"/>
            <w:rFonts w:ascii="Verdana" w:hAnsi="Verdana" w:cstheme="majorHAnsi"/>
            <w:szCs w:val="20"/>
            <w:lang w:val="fr-CH"/>
          </w:rPr>
          <w:t>C</w:t>
        </w:r>
        <w:r w:rsidRPr="00263242">
          <w:rPr>
            <w:rStyle w:val="Lienhypertexte"/>
            <w:rFonts w:ascii="Verdana" w:hAnsi="Verdana" w:cstheme="majorHAnsi"/>
            <w:szCs w:val="20"/>
            <w:lang w:val="fr-CH"/>
          </w:rPr>
          <w:t>C</w:t>
        </w:r>
      </w:hyperlink>
      <w:r w:rsidRPr="00BD04F2">
        <w:rPr>
          <w:rFonts w:ascii="Verdana" w:hAnsi="Verdana" w:cstheme="majorHAnsi"/>
          <w:color w:val="000000"/>
          <w:szCs w:val="20"/>
          <w:lang w:val="fr-CH"/>
        </w:rPr>
        <w:t xml:space="preserve">, </w:t>
      </w:r>
      <w:r w:rsidRPr="00BD04F2" w:rsidR="0001789F">
        <w:rPr>
          <w:rFonts w:ascii="Verdana" w:hAnsi="Verdana" w:cstheme="majorHAnsi"/>
          <w:color w:val="000000"/>
          <w:szCs w:val="20"/>
          <w:lang w:val="fr-CH"/>
        </w:rPr>
        <w:t>l’</w:t>
      </w:r>
      <w:r w:rsidR="004C4D5C">
        <w:rPr>
          <w:rFonts w:ascii="Verdana" w:hAnsi="Verdana" w:cstheme="majorHAnsi"/>
          <w:color w:val="000000"/>
          <w:szCs w:val="20"/>
          <w:lang w:val="fr-CH"/>
        </w:rPr>
        <w:t>APEA</w:t>
      </w:r>
      <w:r w:rsidRPr="00BD04F2" w:rsidR="0001789F">
        <w:rPr>
          <w:rFonts w:ascii="Verdana" w:hAnsi="Verdana" w:cstheme="majorHAnsi"/>
          <w:color w:val="000000"/>
          <w:szCs w:val="20"/>
          <w:lang w:val="fr-CH"/>
        </w:rPr>
        <w:t xml:space="preserve"> </w:t>
      </w:r>
      <w:r w:rsidRPr="00BD04F2">
        <w:rPr>
          <w:rFonts w:ascii="Verdana" w:hAnsi="Verdana" w:cstheme="majorHAnsi"/>
          <w:color w:val="000000"/>
          <w:szCs w:val="20"/>
          <w:lang w:val="fr-CH"/>
        </w:rPr>
        <w:t xml:space="preserve">doit être informée de sorte à désigner un représentant. Lorsque les intérêts du patient incapable de discernement sont compromis ou risquent de l’être, </w:t>
      </w:r>
      <w:r w:rsidRPr="00BD04F2" w:rsidR="0001789F">
        <w:rPr>
          <w:rFonts w:ascii="Verdana" w:hAnsi="Verdana" w:cstheme="majorHAnsi"/>
          <w:color w:val="000000"/>
          <w:szCs w:val="20"/>
          <w:lang w:val="fr-CH"/>
        </w:rPr>
        <w:t>l’</w:t>
      </w:r>
      <w:r w:rsidR="003E4FCE">
        <w:rPr>
          <w:rFonts w:ascii="Verdana" w:hAnsi="Verdana" w:cstheme="majorHAnsi"/>
          <w:color w:val="000000"/>
          <w:szCs w:val="20"/>
          <w:lang w:val="fr-CH"/>
        </w:rPr>
        <w:t>APEA</w:t>
      </w:r>
      <w:r w:rsidRPr="00BD04F2" w:rsidR="0001789F">
        <w:rPr>
          <w:rFonts w:ascii="Verdana" w:hAnsi="Verdana" w:cstheme="majorHAnsi"/>
          <w:color w:val="000000"/>
          <w:szCs w:val="20"/>
          <w:lang w:val="fr-CH"/>
        </w:rPr>
        <w:t xml:space="preserve"> </w:t>
      </w:r>
      <w:r w:rsidRPr="00BD04F2">
        <w:rPr>
          <w:rFonts w:ascii="Verdana" w:hAnsi="Verdana" w:cstheme="majorHAnsi"/>
          <w:color w:val="000000"/>
          <w:szCs w:val="20"/>
          <w:lang w:val="fr-CH"/>
        </w:rPr>
        <w:t>peut</w:t>
      </w:r>
      <w:r w:rsidRPr="00BD04F2" w:rsidR="00416DC0">
        <w:rPr>
          <w:rFonts w:ascii="Verdana" w:hAnsi="Verdana" w:cstheme="majorHAnsi"/>
          <w:color w:val="000000"/>
          <w:szCs w:val="20"/>
          <w:lang w:val="fr-CH"/>
        </w:rPr>
        <w:t> </w:t>
      </w:r>
    </w:p>
    <w:p w:rsidRPr="00BD04F2" w:rsidR="00747052" w:rsidP="00930620" w:rsidRDefault="00747052" w14:paraId="35EC8229"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w:t>
      </w:r>
      <w:r w:rsidRPr="00BD04F2">
        <w:rPr>
          <w:rFonts w:ascii="Verdana" w:hAnsi="Verdana" w:cstheme="majorHAnsi"/>
          <w:color w:val="000000"/>
          <w:szCs w:val="20"/>
          <w:lang w:val="fr-CH"/>
        </w:rPr>
        <w:tab/>
      </w:r>
      <w:r w:rsidRPr="00BD04F2" w:rsidR="0008315C">
        <w:rPr>
          <w:rFonts w:ascii="Verdana" w:hAnsi="Verdana" w:cstheme="majorHAnsi"/>
          <w:color w:val="000000"/>
          <w:szCs w:val="20"/>
          <w:lang w:val="fr-CH"/>
        </w:rPr>
        <w:t>n</w:t>
      </w:r>
      <w:r w:rsidRPr="00BD04F2">
        <w:rPr>
          <w:rFonts w:ascii="Verdana" w:hAnsi="Verdana" w:cstheme="majorHAnsi"/>
          <w:color w:val="000000"/>
          <w:szCs w:val="20"/>
          <w:lang w:val="fr-CH"/>
        </w:rPr>
        <w:t>ommer un curateur de représentation</w:t>
      </w:r>
    </w:p>
    <w:p w:rsidRPr="00BD04F2" w:rsidR="00747052" w:rsidP="00930620" w:rsidRDefault="00747052" w14:paraId="4D4A1D4F"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w:t>
      </w:r>
      <w:r w:rsidRPr="00BD04F2">
        <w:rPr>
          <w:rFonts w:ascii="Verdana" w:hAnsi="Verdana" w:cstheme="majorHAnsi"/>
          <w:color w:val="000000"/>
          <w:szCs w:val="20"/>
          <w:lang w:val="fr-CH"/>
        </w:rPr>
        <w:tab/>
      </w:r>
      <w:r w:rsidRPr="00BD04F2" w:rsidR="0008315C">
        <w:rPr>
          <w:rFonts w:ascii="Verdana" w:hAnsi="Verdana" w:cstheme="majorHAnsi"/>
          <w:color w:val="000000"/>
          <w:szCs w:val="20"/>
          <w:lang w:val="fr-CH"/>
        </w:rPr>
        <w:t>d</w:t>
      </w:r>
      <w:r w:rsidRPr="00BD04F2">
        <w:rPr>
          <w:rFonts w:ascii="Verdana" w:hAnsi="Verdana" w:cstheme="majorHAnsi"/>
          <w:color w:val="000000"/>
          <w:szCs w:val="20"/>
          <w:lang w:val="fr-CH"/>
        </w:rPr>
        <w:t>éterminer le proche qui a qualité de représentant</w:t>
      </w:r>
      <w:r w:rsidRPr="00BD04F2" w:rsidR="0008315C">
        <w:rPr>
          <w:rFonts w:ascii="Verdana" w:hAnsi="Verdana" w:cstheme="majorHAnsi"/>
          <w:color w:val="000000"/>
          <w:szCs w:val="20"/>
          <w:lang w:val="fr-CH"/>
        </w:rPr>
        <w:t>.</w:t>
      </w:r>
    </w:p>
    <w:p w:rsidRPr="00BD04F2" w:rsidR="00747052" w:rsidP="00930620" w:rsidRDefault="00747052" w14:paraId="2F53454E" w14:textId="77777777">
      <w:pPr>
        <w:autoSpaceDE w:val="0"/>
        <w:autoSpaceDN w:val="0"/>
        <w:adjustRightInd w:val="0"/>
        <w:spacing w:before="120" w:after="120" w:line="276" w:lineRule="auto"/>
        <w:jc w:val="both"/>
        <w:rPr>
          <w:rFonts w:ascii="Verdana" w:hAnsi="Verdana" w:cstheme="majorHAnsi"/>
          <w:color w:val="000000"/>
          <w:szCs w:val="20"/>
          <w:lang w:val="fr-CH"/>
        </w:rPr>
      </w:pPr>
    </w:p>
    <w:p w:rsidR="002E7C46" w:rsidRDefault="002E7C46" w14:paraId="75252E2F" w14:textId="77777777">
      <w:pPr>
        <w:rPr>
          <w:rFonts w:ascii="Verdana" w:hAnsi="Verdana" w:cstheme="majorHAnsi"/>
          <w:color w:val="000000"/>
          <w:szCs w:val="20"/>
          <w:lang w:val="fr-CH"/>
        </w:rPr>
      </w:pPr>
      <w:r>
        <w:rPr>
          <w:rFonts w:ascii="Verdana" w:hAnsi="Verdana" w:cstheme="majorHAnsi"/>
          <w:color w:val="000000"/>
          <w:szCs w:val="20"/>
          <w:lang w:val="fr-CH"/>
        </w:rPr>
        <w:br w:type="page"/>
      </w:r>
    </w:p>
    <w:p w:rsidRPr="00BD04F2" w:rsidR="00747052" w:rsidP="00930620" w:rsidRDefault="00747052" w14:paraId="28968081" w14:textId="63134404">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 xml:space="preserve">A noter que </w:t>
      </w:r>
      <w:r w:rsidRPr="00BD04F2" w:rsidR="0001789F">
        <w:rPr>
          <w:rFonts w:ascii="Verdana" w:hAnsi="Verdana" w:cstheme="majorHAnsi"/>
          <w:color w:val="000000"/>
          <w:szCs w:val="20"/>
          <w:lang w:val="fr-CH"/>
        </w:rPr>
        <w:t>l’</w:t>
      </w:r>
      <w:r w:rsidR="00A95111">
        <w:rPr>
          <w:rFonts w:ascii="Verdana" w:hAnsi="Verdana" w:cstheme="majorHAnsi"/>
          <w:color w:val="000000"/>
          <w:szCs w:val="20"/>
          <w:lang w:val="fr-CH"/>
        </w:rPr>
        <w:t xml:space="preserve">APEA </w:t>
      </w:r>
      <w:r w:rsidRPr="00BD04F2">
        <w:rPr>
          <w:rFonts w:ascii="Verdana" w:hAnsi="Verdana" w:cstheme="majorHAnsi"/>
          <w:color w:val="000000"/>
          <w:szCs w:val="20"/>
          <w:lang w:val="fr-CH"/>
        </w:rPr>
        <w:t>agit d’office, à la demande du médecin ou d’une autre personne proche de la personne capable de discernement.</w:t>
      </w:r>
    </w:p>
    <w:p w:rsidRPr="00BD04F2" w:rsidR="00747052" w:rsidP="00930620" w:rsidRDefault="00747052" w14:paraId="324C5B22"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En cas d’urgence, le professionnel des soins agit selon la volonté présumée du patient et son intérêt objectif.</w:t>
      </w:r>
    </w:p>
    <w:p w:rsidRPr="00BD04F2" w:rsidR="00747052" w:rsidP="00930620" w:rsidRDefault="00747052" w14:paraId="582C9A13" w14:textId="77777777">
      <w:pPr>
        <w:autoSpaceDE w:val="0"/>
        <w:autoSpaceDN w:val="0"/>
        <w:adjustRightInd w:val="0"/>
        <w:spacing w:before="120" w:after="120" w:line="276" w:lineRule="auto"/>
        <w:jc w:val="both"/>
        <w:rPr>
          <w:rFonts w:ascii="Verdana" w:hAnsi="Verdana" w:cstheme="majorHAnsi"/>
          <w:color w:val="000000"/>
          <w:szCs w:val="20"/>
          <w:lang w:val="fr-CH"/>
        </w:rPr>
      </w:pPr>
      <w:r w:rsidRPr="00BD04F2">
        <w:rPr>
          <w:rFonts w:ascii="Verdana" w:hAnsi="Verdana" w:cstheme="majorHAnsi"/>
          <w:color w:val="000000"/>
          <w:szCs w:val="20"/>
          <w:lang w:val="fr-CH"/>
        </w:rPr>
        <w:t>Le patient fournit au représentant du patient incapable de discernement toutes les informations pertinentes sur l’état de santé du patient et les traitements disponibles. Il est donc délié du secret professionnel par la loi dans ces situations.</w:t>
      </w:r>
    </w:p>
    <w:p w:rsidRPr="00BD04F2" w:rsidR="00747052" w:rsidP="002E7C46" w:rsidRDefault="00747052" w14:paraId="421F9EF9" w14:textId="77777777">
      <w:pPr>
        <w:pStyle w:val="Titre1"/>
      </w:pPr>
      <w:bookmarkStart w:name="_Toc60210555" w:id="35"/>
      <w:bookmarkStart w:name="_Toc127619231" w:id="36"/>
      <w:r w:rsidRPr="00BD04F2">
        <w:t>l’obligation de documen</w:t>
      </w:r>
      <w:r w:rsidRPr="00BD04F2" w:rsidR="00061C97">
        <w:t>TER</w:t>
      </w:r>
      <w:r w:rsidRPr="00BD04F2">
        <w:t xml:space="preserve"> l’information et le consentement du patient (les bases légales)</w:t>
      </w:r>
      <w:bookmarkEnd w:id="35"/>
      <w:bookmarkEnd w:id="36"/>
    </w:p>
    <w:p w:rsidRPr="00BD04F2" w:rsidR="00747052" w:rsidP="00930620" w:rsidRDefault="00747052" w14:paraId="522288A7" w14:textId="77777777">
      <w:pPr>
        <w:spacing w:before="120" w:after="120" w:line="276" w:lineRule="auto"/>
        <w:jc w:val="both"/>
        <w:rPr>
          <w:rFonts w:ascii="Verdana" w:hAnsi="Verdana"/>
          <w:szCs w:val="20"/>
          <w:lang w:val="fr-CH"/>
        </w:rPr>
      </w:pPr>
      <w:r w:rsidRPr="00BD04F2">
        <w:rPr>
          <w:rFonts w:ascii="Verdana" w:hAnsi="Verdana"/>
          <w:szCs w:val="20"/>
          <w:lang w:val="fr-CH"/>
        </w:rPr>
        <w:t>L’obligation de documenter la prise en charge des soins et en particulier l’information et le consentement du patient est prévue par </w:t>
      </w:r>
      <w:r w:rsidRPr="00BD04F2" w:rsidR="00882BFF">
        <w:rPr>
          <w:rFonts w:ascii="Verdana" w:hAnsi="Verdana"/>
          <w:szCs w:val="20"/>
          <w:lang w:val="fr-CH"/>
        </w:rPr>
        <w:t>les différentes législations cantonales ainsi que par le code de déontologie de la FMH.</w:t>
      </w:r>
    </w:p>
    <w:p w:rsidRPr="00BD04F2" w:rsidR="00747052" w:rsidP="002E7C46" w:rsidRDefault="00747052" w14:paraId="11E1527A" w14:textId="77777777">
      <w:pPr>
        <w:pStyle w:val="Titre1"/>
      </w:pPr>
      <w:bookmarkStart w:name="_Toc60210556" w:id="37"/>
      <w:bookmarkStart w:name="_Toc127619232" w:id="38"/>
      <w:r w:rsidRPr="00BD04F2">
        <w:t>Les législations cantonales portant sur les droits des patients</w:t>
      </w:r>
      <w:bookmarkEnd w:id="37"/>
      <w:bookmarkEnd w:id="38"/>
    </w:p>
    <w:p w:rsidRPr="00BD04F2" w:rsidR="00747052" w:rsidP="00930620" w:rsidRDefault="00747052" w14:paraId="0C25C3B4" w14:textId="1109DF4C">
      <w:pPr>
        <w:spacing w:before="120" w:after="120" w:line="276" w:lineRule="auto"/>
        <w:jc w:val="both"/>
        <w:rPr>
          <w:rFonts w:ascii="Verdana" w:hAnsi="Verdana"/>
          <w:szCs w:val="20"/>
          <w:lang w:val="fr-CH"/>
        </w:rPr>
      </w:pPr>
      <w:r w:rsidRPr="00BD04F2">
        <w:rPr>
          <w:rFonts w:ascii="Verdana" w:hAnsi="Verdana"/>
          <w:szCs w:val="20"/>
          <w:lang w:val="fr-CH"/>
        </w:rPr>
        <w:t>(</w:t>
      </w:r>
      <w:r w:rsidRPr="00BD04F2" w:rsidR="00CD5245">
        <w:rPr>
          <w:rFonts w:ascii="Verdana" w:hAnsi="Verdana"/>
          <w:szCs w:val="20"/>
          <w:lang w:val="fr-CH"/>
        </w:rPr>
        <w:t>Exemple</w:t>
      </w:r>
      <w:r w:rsidRPr="00BD04F2">
        <w:rPr>
          <w:rFonts w:ascii="Verdana" w:hAnsi="Verdana"/>
          <w:szCs w:val="20"/>
          <w:lang w:val="fr-CH"/>
        </w:rPr>
        <w:t xml:space="preserve"> </w:t>
      </w:r>
      <w:r w:rsidRPr="00BD04F2" w:rsidR="0008315C">
        <w:rPr>
          <w:rFonts w:ascii="Verdana" w:hAnsi="Verdana"/>
          <w:szCs w:val="20"/>
          <w:lang w:val="fr-CH"/>
        </w:rPr>
        <w:t>l</w:t>
      </w:r>
      <w:r w:rsidRPr="00BD04F2">
        <w:rPr>
          <w:rFonts w:ascii="Verdana" w:hAnsi="Verdana"/>
          <w:szCs w:val="20"/>
          <w:lang w:val="fr-CH"/>
        </w:rPr>
        <w:t>oi sur la santé du 14 février 2008, recueil Valais 800.1</w:t>
      </w:r>
      <w:r w:rsidRPr="00BD04F2" w:rsidR="00040255">
        <w:rPr>
          <w:rStyle w:val="Appelnotedebasdep"/>
          <w:rFonts w:ascii="Verdana" w:hAnsi="Verdana"/>
          <w:szCs w:val="20"/>
          <w:lang w:val="fr-CH"/>
        </w:rPr>
        <w:footnoteReference w:id="7"/>
      </w:r>
      <w:r w:rsidRPr="00BD04F2">
        <w:rPr>
          <w:rFonts w:ascii="Verdana" w:hAnsi="Verdana"/>
          <w:szCs w:val="20"/>
          <w:lang w:val="fr-CH"/>
        </w:rPr>
        <w:t>)</w:t>
      </w:r>
    </w:p>
    <w:p w:rsidRPr="00BD04F2" w:rsidR="00747052" w:rsidP="005C1669" w:rsidRDefault="00747052" w14:paraId="4204E11B" w14:textId="77777777">
      <w:pPr>
        <w:pStyle w:val="Titre3"/>
        <w:numPr>
          <w:ilvl w:val="2"/>
          <w:numId w:val="50"/>
        </w:numPr>
      </w:pPr>
      <w:bookmarkStart w:name="_Toc60210557" w:id="39"/>
      <w:bookmarkStart w:name="_Toc127619233" w:id="40"/>
      <w:r w:rsidRPr="00BD04F2">
        <w:t>Le code de déontologie de la FMH</w:t>
      </w:r>
      <w:bookmarkEnd w:id="39"/>
      <w:bookmarkEnd w:id="40"/>
    </w:p>
    <w:p w:rsidRPr="00BD04F2" w:rsidR="00747052" w:rsidP="00930620" w:rsidRDefault="00747052" w14:paraId="503CB2E8" w14:textId="77777777">
      <w:pPr>
        <w:spacing w:before="120" w:after="120" w:line="276" w:lineRule="auto"/>
        <w:jc w:val="both"/>
        <w:rPr>
          <w:rFonts w:ascii="Verdana" w:hAnsi="Verdana"/>
          <w:szCs w:val="20"/>
          <w:lang w:val="fr-CH"/>
        </w:rPr>
      </w:pPr>
      <w:r w:rsidRPr="00BD04F2">
        <w:rPr>
          <w:rFonts w:ascii="Verdana" w:hAnsi="Verdana"/>
          <w:noProof/>
          <w:szCs w:val="20"/>
          <w:lang w:val="fr-CH" w:eastAsia="fr-CH"/>
        </w:rPr>
        <w:drawing>
          <wp:inline distT="0" distB="0" distL="0" distR="0" wp14:anchorId="10E88AC8" wp14:editId="4420D314">
            <wp:extent cx="4845866" cy="1214344"/>
            <wp:effectExtent l="0" t="0" r="0" b="508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63356" cy="1218727"/>
                    </a:xfrm>
                    <a:prstGeom prst="rect">
                      <a:avLst/>
                    </a:prstGeom>
                  </pic:spPr>
                </pic:pic>
              </a:graphicData>
            </a:graphic>
          </wp:inline>
        </w:drawing>
      </w:r>
    </w:p>
    <w:p w:rsidRPr="00BD04F2" w:rsidR="001854A2" w:rsidP="00930620" w:rsidRDefault="00747052" w14:paraId="2B0E917C" w14:textId="77777777">
      <w:pPr>
        <w:spacing w:before="120" w:after="120" w:line="276" w:lineRule="auto"/>
        <w:jc w:val="both"/>
        <w:rPr>
          <w:rFonts w:ascii="Verdana" w:hAnsi="Verdana"/>
          <w:szCs w:val="20"/>
          <w:lang w:val="fr-CH"/>
        </w:rPr>
      </w:pPr>
      <w:r w:rsidRPr="00BD04F2">
        <w:rPr>
          <w:rFonts w:ascii="Verdana" w:hAnsi="Verdana"/>
          <w:noProof/>
          <w:szCs w:val="20"/>
          <w:lang w:val="fr-CH" w:eastAsia="fr-CH"/>
        </w:rPr>
        <w:drawing>
          <wp:inline distT="0" distB="0" distL="0" distR="0" wp14:anchorId="3A4E777D" wp14:editId="6F4ACC5A">
            <wp:extent cx="4859990" cy="634163"/>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19615" cy="641943"/>
                    </a:xfrm>
                    <a:prstGeom prst="rect">
                      <a:avLst/>
                    </a:prstGeom>
                  </pic:spPr>
                </pic:pic>
              </a:graphicData>
            </a:graphic>
          </wp:inline>
        </w:drawing>
      </w:r>
    </w:p>
    <w:p w:rsidRPr="00BD04F2" w:rsidR="001854A2" w:rsidP="00C102D2" w:rsidRDefault="001854A2" w14:paraId="68F014D7" w14:textId="77777777">
      <w:pPr>
        <w:pStyle w:val="Titre2"/>
      </w:pPr>
      <w:bookmarkStart w:name="_Toc127619234" w:id="41"/>
      <w:r w:rsidRPr="00BD04F2">
        <w:t>Comment communiquer efficacement dans le domaine médical</w:t>
      </w:r>
      <w:bookmarkEnd w:id="41"/>
    </w:p>
    <w:p w:rsidRPr="00BD04F2" w:rsidR="001F4B04" w:rsidP="00930620" w:rsidRDefault="001F4B04" w14:paraId="5D5C714B" w14:textId="77777777">
      <w:pPr>
        <w:pStyle w:val="Paragraphedeliste"/>
        <w:numPr>
          <w:ilvl w:val="0"/>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Bien communiquer, c’est </w:t>
      </w:r>
      <w:r w:rsidRPr="00BD04F2">
        <w:rPr>
          <w:rFonts w:ascii="Verdana" w:hAnsi="Verdana" w:cstheme="majorHAnsi"/>
          <w:b/>
          <w:szCs w:val="20"/>
          <w:lang w:val="fr-CH"/>
        </w:rPr>
        <w:t>comprendre le patient et sa maladie</w:t>
      </w:r>
      <w:r w:rsidRPr="00BD04F2">
        <w:rPr>
          <w:rFonts w:ascii="Verdana" w:hAnsi="Verdana" w:cstheme="majorHAnsi"/>
          <w:szCs w:val="20"/>
          <w:lang w:val="fr-CH"/>
        </w:rPr>
        <w:t>.</w:t>
      </w:r>
    </w:p>
    <w:p w:rsidRPr="00BD04F2" w:rsidR="001F4B04" w:rsidP="00930620" w:rsidRDefault="001F4B04" w14:paraId="3E732762"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Analyser les symptômes, le </w:t>
      </w:r>
      <w:r w:rsidRPr="00BD04F2" w:rsidR="00416DC0">
        <w:rPr>
          <w:rFonts w:ascii="Verdana" w:hAnsi="Verdana" w:cstheme="majorHAnsi"/>
          <w:szCs w:val="20"/>
          <w:lang w:val="fr-CH"/>
        </w:rPr>
        <w:t>statut</w:t>
      </w:r>
      <w:r w:rsidRPr="00BD04F2">
        <w:rPr>
          <w:rFonts w:ascii="Verdana" w:hAnsi="Verdana" w:cstheme="majorHAnsi"/>
          <w:szCs w:val="20"/>
          <w:lang w:val="fr-CH"/>
        </w:rPr>
        <w:t xml:space="preserve"> et les examens</w:t>
      </w:r>
    </w:p>
    <w:p w:rsidRPr="00BD04F2" w:rsidR="001F4B04" w:rsidP="00930620" w:rsidRDefault="001F4B04" w14:paraId="62BAABF9"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Localisation</w:t>
      </w:r>
    </w:p>
    <w:p w:rsidRPr="00BD04F2" w:rsidR="001F4B04" w:rsidP="00930620" w:rsidRDefault="001F4B04" w14:paraId="2E645356"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Depuis quand, évolution</w:t>
      </w:r>
    </w:p>
    <w:p w:rsidRPr="00BD04F2" w:rsidR="001F4B04" w:rsidP="00930620" w:rsidRDefault="001F4B04" w14:paraId="59DDE8F3"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Quantité, intensité, étendue</w:t>
      </w:r>
    </w:p>
    <w:p w:rsidRPr="00BD04F2" w:rsidR="001F4B04" w:rsidP="00930620" w:rsidRDefault="00F832ED" w14:paraId="313EA2E5"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Facteurs aggravants et </w:t>
      </w:r>
      <w:r w:rsidRPr="00BD04F2" w:rsidR="00416DC0">
        <w:rPr>
          <w:rFonts w:ascii="Verdana" w:hAnsi="Verdana" w:cstheme="majorHAnsi"/>
          <w:szCs w:val="20"/>
          <w:lang w:val="fr-CH"/>
        </w:rPr>
        <w:t>soulageants</w:t>
      </w:r>
    </w:p>
    <w:p w:rsidRPr="00BD04F2" w:rsidR="00F832ED" w:rsidP="00930620" w:rsidRDefault="00F832ED" w14:paraId="4AFC0541"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Symptômes associés</w:t>
      </w:r>
    </w:p>
    <w:p w:rsidRPr="00BD04F2" w:rsidR="001F4B04" w:rsidP="00930620" w:rsidRDefault="001F4B04" w14:paraId="41627531"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Comprendre les attentes, le vécu, les idées et représentations</w:t>
      </w:r>
    </w:p>
    <w:p w:rsidRPr="00BD04F2" w:rsidR="00F832ED" w:rsidP="00930620" w:rsidRDefault="00F832ED" w14:paraId="7936A5D3"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Attentes et souhaits</w:t>
      </w:r>
    </w:p>
    <w:p w:rsidRPr="00BD04F2" w:rsidR="00F832ED" w:rsidP="00930620" w:rsidRDefault="00F832ED" w14:paraId="4084855D"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Vécu</w:t>
      </w:r>
    </w:p>
    <w:p w:rsidRPr="00BD04F2" w:rsidR="00F832ED" w:rsidP="00930620" w:rsidRDefault="00F832ED" w14:paraId="36FD2869"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Impact sur la vie quotidienne</w:t>
      </w:r>
    </w:p>
    <w:p w:rsidRPr="00BD04F2" w:rsidR="00F832ED" w:rsidP="00930620" w:rsidRDefault="00F832ED" w14:paraId="29042601"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Symptômes</w:t>
      </w:r>
    </w:p>
    <w:p w:rsidRPr="00BD04F2" w:rsidR="00C24EDB" w:rsidP="00930620" w:rsidRDefault="00C24EDB" w14:paraId="76A56608" w14:textId="77777777">
      <w:pPr>
        <w:pStyle w:val="Paragraphedeliste"/>
        <w:numPr>
          <w:ilvl w:val="0"/>
          <w:numId w:val="27"/>
        </w:numPr>
        <w:spacing w:before="120" w:after="120" w:line="276" w:lineRule="auto"/>
        <w:jc w:val="both"/>
        <w:rPr>
          <w:rFonts w:ascii="Verdana" w:hAnsi="Verdana" w:cstheme="majorHAnsi"/>
          <w:b/>
          <w:szCs w:val="20"/>
          <w:lang w:val="fr-CH"/>
        </w:rPr>
      </w:pPr>
      <w:r w:rsidRPr="00BD04F2">
        <w:rPr>
          <w:rFonts w:ascii="Verdana" w:hAnsi="Verdana" w:cstheme="majorHAnsi"/>
          <w:b/>
          <w:szCs w:val="20"/>
          <w:lang w:val="fr-CH"/>
        </w:rPr>
        <w:t>Comprendre le patient est un enjeu du professionnel pour</w:t>
      </w:r>
    </w:p>
    <w:p w:rsidRPr="00BD04F2" w:rsidR="00C24EDB" w:rsidP="00930620" w:rsidRDefault="00C24EDB" w14:paraId="42483738"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Améliorer ses aptitudes à communiquer (lien visuel, éviter le jargon)</w:t>
      </w:r>
      <w:r w:rsidRPr="00BD04F2" w:rsidR="00416DC0">
        <w:rPr>
          <w:rFonts w:ascii="Verdana" w:hAnsi="Verdana" w:cstheme="majorHAnsi"/>
          <w:szCs w:val="20"/>
          <w:lang w:val="fr-CH"/>
        </w:rPr>
        <w:t xml:space="preserve"> q</w:t>
      </w:r>
      <w:r w:rsidRPr="00BD04F2">
        <w:rPr>
          <w:rFonts w:ascii="Verdana" w:hAnsi="Verdana" w:cstheme="majorHAnsi"/>
          <w:szCs w:val="20"/>
          <w:lang w:val="fr-CH"/>
        </w:rPr>
        <w:t>ui ont tendance à décliner si elles ne sont pas régulièrement rappelées et pratiquées</w:t>
      </w:r>
    </w:p>
    <w:p w:rsidRPr="00BD04F2" w:rsidR="00C24EDB" w:rsidP="00930620" w:rsidRDefault="00C24EDB" w14:paraId="677B31FD" w14:textId="18C323F2">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Améliorer le contenu de ses entretiens et les documents à fournir (établir un agenda, </w:t>
      </w:r>
      <w:r w:rsidRPr="00BD04F2" w:rsidR="002830F6">
        <w:rPr>
          <w:rFonts w:ascii="Verdana" w:hAnsi="Verdana" w:cstheme="majorHAnsi"/>
          <w:szCs w:val="20"/>
          <w:lang w:val="fr-CH"/>
        </w:rPr>
        <w:t>résumé</w:t>
      </w:r>
      <w:r w:rsidRPr="00BD04F2">
        <w:rPr>
          <w:rFonts w:ascii="Verdana" w:hAnsi="Verdana" w:cstheme="majorHAnsi"/>
          <w:szCs w:val="20"/>
          <w:lang w:val="fr-CH"/>
        </w:rPr>
        <w:t>)</w:t>
      </w:r>
    </w:p>
    <w:p w:rsidRPr="00BD04F2" w:rsidR="00C24EDB" w:rsidP="00930620" w:rsidRDefault="00C24EDB" w14:paraId="7C399E28"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Améliorer les modalités</w:t>
      </w:r>
    </w:p>
    <w:p w:rsidRPr="00BD04F2" w:rsidR="001F4B04" w:rsidP="00930620" w:rsidRDefault="001F4B04" w14:paraId="3960FE21" w14:textId="77777777">
      <w:pPr>
        <w:pStyle w:val="Paragraphedeliste"/>
        <w:numPr>
          <w:ilvl w:val="0"/>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Pour ce faire, il est donc essentiel de </w:t>
      </w:r>
      <w:r w:rsidRPr="00BD04F2">
        <w:rPr>
          <w:rFonts w:ascii="Verdana" w:hAnsi="Verdana" w:cstheme="majorHAnsi"/>
          <w:b/>
          <w:szCs w:val="20"/>
          <w:lang w:val="fr-CH"/>
        </w:rPr>
        <w:t>structurer et construire la relation</w:t>
      </w:r>
      <w:r w:rsidRPr="00BD04F2" w:rsidR="00A96ACC">
        <w:rPr>
          <w:rFonts w:ascii="Verdana" w:hAnsi="Verdana" w:cstheme="majorHAnsi"/>
          <w:b/>
          <w:szCs w:val="20"/>
          <w:lang w:val="fr-CH"/>
        </w:rPr>
        <w:t> :</w:t>
      </w:r>
    </w:p>
    <w:p w:rsidRPr="00BD04F2" w:rsidR="001F4B04" w:rsidP="00930620" w:rsidRDefault="001F4B04" w14:paraId="59020384"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Débuter l’entrevue</w:t>
      </w:r>
    </w:p>
    <w:p w:rsidRPr="00BD04F2" w:rsidR="001F4B04" w:rsidP="00930620" w:rsidRDefault="001F4B04" w14:paraId="3D4DBC64"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Recueillir l’information</w:t>
      </w:r>
    </w:p>
    <w:p w:rsidRPr="00BD04F2" w:rsidR="001F4B04" w:rsidP="00930620" w:rsidRDefault="001F4B04" w14:paraId="6A410F35"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Faire l’examen physique</w:t>
      </w:r>
    </w:p>
    <w:p w:rsidRPr="00BD04F2" w:rsidR="001F4B04" w:rsidP="00930620" w:rsidRDefault="001F4B04" w14:paraId="5CF15E03"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Expliquer et planifier</w:t>
      </w:r>
      <w:r w:rsidRPr="00BD04F2" w:rsidR="00C24EDB">
        <w:rPr>
          <w:rFonts w:ascii="Verdana" w:hAnsi="Verdana" w:cstheme="majorHAnsi"/>
          <w:szCs w:val="20"/>
          <w:lang w:val="fr-CH"/>
        </w:rPr>
        <w:t xml:space="preserve"> (c’est un processus en boucle, qui consiste à explorer, à informer, à explorer à nouveau, à informer, etc.)</w:t>
      </w:r>
    </w:p>
    <w:p w:rsidRPr="00BD04F2" w:rsidR="001F4B04" w:rsidP="00930620" w:rsidRDefault="001F4B04" w14:paraId="32B0794D"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Terminer l’entrevue</w:t>
      </w:r>
    </w:p>
    <w:p w:rsidRPr="00BD04F2" w:rsidR="001F4B04" w:rsidP="00930620" w:rsidRDefault="001F4B04" w14:paraId="372A3B24" w14:textId="77777777">
      <w:pPr>
        <w:spacing w:before="120" w:after="120" w:line="276" w:lineRule="auto"/>
        <w:jc w:val="both"/>
        <w:rPr>
          <w:rFonts w:ascii="Verdana" w:hAnsi="Verdana" w:cstheme="majorHAnsi"/>
          <w:szCs w:val="20"/>
          <w:lang w:val="fr-CH"/>
        </w:rPr>
      </w:pPr>
    </w:p>
    <w:p w:rsidR="006A465B" w:rsidRDefault="006A465B" w14:paraId="531090F7" w14:textId="77777777">
      <w:pPr>
        <w:rPr>
          <w:rFonts w:ascii="Verdana" w:hAnsi="Verdana" w:cstheme="majorHAnsi"/>
          <w:b/>
          <w:szCs w:val="20"/>
          <w:lang w:val="fr-CH"/>
        </w:rPr>
      </w:pPr>
      <w:r>
        <w:rPr>
          <w:rFonts w:ascii="Verdana" w:hAnsi="Verdana" w:cstheme="majorHAnsi"/>
          <w:b/>
          <w:szCs w:val="20"/>
          <w:lang w:val="fr-CH"/>
        </w:rPr>
        <w:br w:type="page"/>
      </w:r>
    </w:p>
    <w:p w:rsidRPr="00BD04F2" w:rsidR="00C24EDB" w:rsidP="00930620" w:rsidRDefault="00C24EDB" w14:paraId="6A2BA872" w14:textId="4F282B43">
      <w:pPr>
        <w:pStyle w:val="Paragraphedeliste"/>
        <w:numPr>
          <w:ilvl w:val="0"/>
          <w:numId w:val="27"/>
        </w:numPr>
        <w:spacing w:before="120" w:after="120" w:line="276" w:lineRule="auto"/>
        <w:jc w:val="both"/>
        <w:rPr>
          <w:rFonts w:ascii="Verdana" w:hAnsi="Verdana" w:cstheme="majorHAnsi"/>
          <w:b/>
          <w:szCs w:val="20"/>
          <w:lang w:val="fr-CH"/>
        </w:rPr>
      </w:pPr>
      <w:r w:rsidRPr="00BD04F2">
        <w:rPr>
          <w:rFonts w:ascii="Verdana" w:hAnsi="Verdana" w:cstheme="majorHAnsi"/>
          <w:b/>
          <w:szCs w:val="20"/>
          <w:lang w:val="fr-CH"/>
        </w:rPr>
        <w:t>Risque de</w:t>
      </w:r>
      <w:r w:rsidRPr="00BD04F2" w:rsidR="00A96ACC">
        <w:rPr>
          <w:rFonts w:ascii="Verdana" w:hAnsi="Verdana" w:cstheme="majorHAnsi"/>
          <w:b/>
          <w:szCs w:val="20"/>
          <w:lang w:val="fr-CH"/>
        </w:rPr>
        <w:t xml:space="preserve"> manques dans la</w:t>
      </w:r>
      <w:r w:rsidRPr="00BD04F2">
        <w:rPr>
          <w:rFonts w:ascii="Verdana" w:hAnsi="Verdana" w:cstheme="majorHAnsi"/>
          <w:b/>
          <w:szCs w:val="20"/>
          <w:lang w:val="fr-CH"/>
        </w:rPr>
        <w:t xml:space="preserve"> communication</w:t>
      </w:r>
      <w:r w:rsidRPr="00BD04F2" w:rsidR="00A96ACC">
        <w:rPr>
          <w:rFonts w:ascii="Verdana" w:hAnsi="Verdana" w:cstheme="majorHAnsi"/>
          <w:b/>
          <w:szCs w:val="20"/>
          <w:lang w:val="fr-CH"/>
        </w:rPr>
        <w:t> :</w:t>
      </w:r>
    </w:p>
    <w:p w:rsidRPr="00BD04F2" w:rsidR="00C24EDB" w:rsidP="00930620" w:rsidRDefault="00C24EDB" w14:paraId="27EA0B7C"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Manque ou information incorrecte</w:t>
      </w:r>
    </w:p>
    <w:p w:rsidRPr="00BD04F2" w:rsidR="00C24EDB" w:rsidP="00930620" w:rsidRDefault="00C24EDB" w14:paraId="58C7675E"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Non prise en compte des besoins</w:t>
      </w:r>
    </w:p>
    <w:p w:rsidRPr="00BD04F2" w:rsidR="00C24EDB" w:rsidP="00930620" w:rsidRDefault="00C24EDB" w14:paraId="74D55A63"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Manque de respect ou d’engagement</w:t>
      </w:r>
    </w:p>
    <w:p w:rsidRPr="00BD04F2" w:rsidR="00F832ED" w:rsidP="00930620" w:rsidRDefault="00C24EDB" w14:paraId="7715778A" w14:textId="77777777">
      <w:pPr>
        <w:pStyle w:val="Paragraphedeliste"/>
        <w:numPr>
          <w:ilvl w:val="0"/>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Exemple du </w:t>
      </w:r>
      <w:r w:rsidRPr="00BD04F2">
        <w:rPr>
          <w:rFonts w:ascii="Verdana" w:hAnsi="Verdana" w:cstheme="majorHAnsi"/>
          <w:b/>
          <w:szCs w:val="20"/>
          <w:lang w:val="fr-CH"/>
        </w:rPr>
        <w:t>d</w:t>
      </w:r>
      <w:r w:rsidRPr="00BD04F2" w:rsidR="00F832ED">
        <w:rPr>
          <w:rFonts w:ascii="Verdana" w:hAnsi="Verdana" w:cstheme="majorHAnsi"/>
          <w:b/>
          <w:szCs w:val="20"/>
          <w:lang w:val="fr-CH"/>
        </w:rPr>
        <w:t>iabète</w:t>
      </w:r>
      <w:r w:rsidRPr="00BD04F2" w:rsidR="00A96ACC">
        <w:rPr>
          <w:rFonts w:ascii="Verdana" w:hAnsi="Verdana" w:cstheme="majorHAnsi"/>
          <w:szCs w:val="20"/>
          <w:lang w:val="fr-CH"/>
        </w:rPr>
        <w:t> :</w:t>
      </w:r>
    </w:p>
    <w:p w:rsidRPr="00BD04F2" w:rsidR="00F832ED" w:rsidP="00930620" w:rsidRDefault="00F832ED" w14:paraId="0D97E8AA"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Pour le médecin</w:t>
      </w:r>
    </w:p>
    <w:p w:rsidRPr="00BD04F2" w:rsidR="00F832ED" w:rsidP="00930620" w:rsidRDefault="00F832ED" w14:paraId="17C57B3B"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Craintes (complications à long terme</w:t>
      </w:r>
    </w:p>
    <w:p w:rsidRPr="00BD04F2" w:rsidR="00F832ED" w:rsidP="00930620" w:rsidRDefault="00F832ED" w14:paraId="0E154620"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Glycémie</w:t>
      </w:r>
    </w:p>
    <w:p w:rsidRPr="00BD04F2" w:rsidR="00F832ED" w:rsidP="00930620" w:rsidRDefault="00F832ED" w14:paraId="612FFC3C"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Causes (facteurs génétiques par exemple)</w:t>
      </w:r>
    </w:p>
    <w:p w:rsidRPr="00BD04F2" w:rsidR="00F832ED" w:rsidP="00930620" w:rsidRDefault="00F832ED" w14:paraId="08EC75FF"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Pronostic</w:t>
      </w:r>
    </w:p>
    <w:p w:rsidRPr="00BD04F2" w:rsidR="00F832ED" w:rsidP="00930620" w:rsidRDefault="00F832ED" w14:paraId="72777633"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Pour le patient</w:t>
      </w:r>
    </w:p>
    <w:p w:rsidRPr="00BD04F2" w:rsidR="00F832ED" w:rsidP="00930620" w:rsidRDefault="00F832ED" w14:paraId="6BFE7610"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Blessures qui ne guérissent pas, amputation, cécité</w:t>
      </w:r>
    </w:p>
    <w:p w:rsidRPr="00BD04F2" w:rsidR="00F832ED" w:rsidP="00930620" w:rsidRDefault="00F832ED" w14:paraId="1C04479D"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Changements émotionnels</w:t>
      </w:r>
    </w:p>
    <w:p w:rsidRPr="00BD04F2" w:rsidR="00F832ED" w:rsidP="00930620" w:rsidRDefault="00F832ED" w14:paraId="6B3C18FD" w14:textId="77777777">
      <w:pPr>
        <w:pStyle w:val="Paragraphedeliste"/>
        <w:numPr>
          <w:ilvl w:val="2"/>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Pronostic : pas une maladie sévère</w:t>
      </w:r>
    </w:p>
    <w:p w:rsidRPr="00BD04F2" w:rsidR="00F832ED" w:rsidP="00930620" w:rsidRDefault="00F832ED" w14:paraId="03472375" w14:textId="77777777">
      <w:pPr>
        <w:pStyle w:val="Paragraphedeliste"/>
        <w:numPr>
          <w:ilvl w:val="0"/>
          <w:numId w:val="27"/>
        </w:numPr>
        <w:spacing w:before="120" w:after="120" w:line="276" w:lineRule="auto"/>
        <w:jc w:val="both"/>
        <w:rPr>
          <w:rFonts w:ascii="Verdana" w:hAnsi="Verdana" w:cstheme="majorHAnsi"/>
          <w:b/>
          <w:szCs w:val="20"/>
          <w:lang w:val="fr-CH"/>
        </w:rPr>
      </w:pPr>
      <w:r w:rsidRPr="00BD04F2">
        <w:rPr>
          <w:rFonts w:ascii="Verdana" w:hAnsi="Verdana" w:cstheme="majorHAnsi"/>
          <w:b/>
          <w:szCs w:val="20"/>
          <w:lang w:val="fr-CH"/>
        </w:rPr>
        <w:t>Éléments clefs</w:t>
      </w:r>
      <w:r w:rsidRPr="00BD04F2" w:rsidR="0064399D">
        <w:rPr>
          <w:rFonts w:ascii="Verdana" w:hAnsi="Verdana" w:cstheme="majorHAnsi"/>
          <w:b/>
          <w:szCs w:val="20"/>
          <w:lang w:val="fr-CH"/>
        </w:rPr>
        <w:t xml:space="preserve"> du consentement éclairé en chirurgie</w:t>
      </w:r>
    </w:p>
    <w:p w:rsidRPr="00BD04F2" w:rsidR="0064399D" w:rsidP="00930620" w:rsidRDefault="0064399D" w14:paraId="5B27E3B1"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Description de la maladie, nécessité de l’intervention et opération proposée</w:t>
      </w:r>
    </w:p>
    <w:p w:rsidRPr="00BD04F2" w:rsidR="0064399D" w:rsidP="00930620" w:rsidRDefault="0064399D" w14:paraId="2456F33E"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Discussion des risques et bénéfices</w:t>
      </w:r>
    </w:p>
    <w:p w:rsidRPr="00BD04F2" w:rsidR="0064399D" w:rsidP="00930620" w:rsidRDefault="0064399D" w14:paraId="36BE5842" w14:textId="460FF2E3">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Discussion des alternatives (y.c. </w:t>
      </w:r>
      <w:r w:rsidRPr="00BD04F2" w:rsidR="0001789F">
        <w:rPr>
          <w:rFonts w:ascii="Verdana" w:hAnsi="Verdana" w:cstheme="majorHAnsi"/>
          <w:szCs w:val="20"/>
          <w:lang w:val="fr-CH"/>
        </w:rPr>
        <w:t xml:space="preserve">Non </w:t>
      </w:r>
      <w:r w:rsidRPr="00BD04F2">
        <w:rPr>
          <w:rFonts w:ascii="Verdana" w:hAnsi="Verdana" w:cstheme="majorHAnsi"/>
          <w:szCs w:val="20"/>
          <w:lang w:val="fr-CH"/>
        </w:rPr>
        <w:t>opératoires)</w:t>
      </w:r>
    </w:p>
    <w:p w:rsidRPr="00BD04F2" w:rsidR="0064399D" w:rsidP="00930620" w:rsidRDefault="00C24EDB" w14:paraId="3F4CA16F"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Reconnaissance de potentielles incertitudes en termes de diagnostic</w:t>
      </w:r>
    </w:p>
    <w:p w:rsidRPr="00BD04F2" w:rsidR="00C24EDB" w:rsidP="00930620" w:rsidRDefault="00C24EDB" w14:paraId="79DA07C5"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Annonce de qui va faire l’opération</w:t>
      </w:r>
    </w:p>
    <w:p w:rsidRPr="00BD04F2" w:rsidR="00C24EDB" w:rsidP="00930620" w:rsidRDefault="00C24EDB" w14:paraId="3C6918B6"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Évaluer les perspectives et la compréhension du patient</w:t>
      </w:r>
    </w:p>
    <w:p w:rsidRPr="00BD04F2" w:rsidR="00DF057B" w:rsidP="00930620" w:rsidRDefault="00DF057B" w14:paraId="5AD9E0D4" w14:textId="77777777">
      <w:pPr>
        <w:pStyle w:val="Paragraphedeliste"/>
        <w:numPr>
          <w:ilvl w:val="0"/>
          <w:numId w:val="27"/>
        </w:numPr>
        <w:spacing w:before="120" w:after="120" w:line="276" w:lineRule="auto"/>
        <w:jc w:val="both"/>
        <w:rPr>
          <w:rFonts w:ascii="Verdana" w:hAnsi="Verdana" w:cstheme="majorHAnsi"/>
          <w:b/>
          <w:szCs w:val="20"/>
          <w:lang w:val="fr-CH"/>
        </w:rPr>
      </w:pPr>
      <w:r w:rsidRPr="00BD04F2">
        <w:rPr>
          <w:rFonts w:ascii="Verdana" w:hAnsi="Verdana" w:cstheme="majorHAnsi"/>
          <w:b/>
          <w:szCs w:val="20"/>
          <w:lang w:val="fr-CH"/>
        </w:rPr>
        <w:t>Outils pour communiquer le risque</w:t>
      </w:r>
    </w:p>
    <w:p w:rsidRPr="00BD04F2" w:rsidR="00DF057B" w:rsidP="00930620" w:rsidRDefault="00DF057B" w14:paraId="739316D4"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&gt; 10% :</w:t>
      </w:r>
      <w:r w:rsidRPr="00BD04F2">
        <w:rPr>
          <w:rFonts w:ascii="Verdana" w:hAnsi="Verdana" w:cstheme="majorHAnsi"/>
          <w:szCs w:val="20"/>
          <w:lang w:val="fr-CH"/>
        </w:rPr>
        <w:tab/>
      </w:r>
      <w:r w:rsidRPr="00BD04F2">
        <w:rPr>
          <w:rFonts w:ascii="Verdana" w:hAnsi="Verdana" w:cstheme="majorHAnsi"/>
          <w:szCs w:val="20"/>
          <w:lang w:val="fr-CH"/>
        </w:rPr>
        <w:t xml:space="preserve"> </w:t>
      </w:r>
      <w:r w:rsidRPr="00BD04F2">
        <w:rPr>
          <w:rFonts w:ascii="Verdana" w:hAnsi="Verdana" w:cstheme="majorHAnsi"/>
          <w:szCs w:val="20"/>
          <w:lang w:val="fr-CH"/>
        </w:rPr>
        <w:tab/>
      </w:r>
      <w:r w:rsidRPr="00BD04F2">
        <w:rPr>
          <w:rFonts w:ascii="Verdana" w:hAnsi="Verdana" w:cstheme="majorHAnsi"/>
          <w:szCs w:val="20"/>
          <w:lang w:val="fr-CH"/>
        </w:rPr>
        <w:t>très commun</w:t>
      </w:r>
    </w:p>
    <w:p w:rsidRPr="00BD04F2" w:rsidR="00DF057B" w:rsidP="00930620" w:rsidRDefault="00DF057B" w14:paraId="6CDFBFD8"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 xml:space="preserve">1-10% : </w:t>
      </w:r>
      <w:r w:rsidRPr="00BD04F2">
        <w:rPr>
          <w:rFonts w:ascii="Verdana" w:hAnsi="Verdana" w:cstheme="majorHAnsi"/>
          <w:szCs w:val="20"/>
          <w:lang w:val="fr-CH"/>
        </w:rPr>
        <w:tab/>
      </w:r>
      <w:r w:rsidRPr="00BD04F2">
        <w:rPr>
          <w:rFonts w:ascii="Verdana" w:hAnsi="Verdana" w:cstheme="majorHAnsi"/>
          <w:szCs w:val="20"/>
          <w:lang w:val="fr-CH"/>
        </w:rPr>
        <w:tab/>
      </w:r>
      <w:r w:rsidRPr="00BD04F2">
        <w:rPr>
          <w:rFonts w:ascii="Verdana" w:hAnsi="Verdana" w:cstheme="majorHAnsi"/>
          <w:szCs w:val="20"/>
          <w:lang w:val="fr-CH"/>
        </w:rPr>
        <w:t>commun</w:t>
      </w:r>
    </w:p>
    <w:p w:rsidRPr="00BD04F2" w:rsidR="00DF057B" w:rsidP="00930620" w:rsidRDefault="00DF057B" w14:paraId="5ECFB2FC" w14:textId="77777777">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0.1-1% :</w:t>
      </w:r>
      <w:r w:rsidRPr="00BD04F2">
        <w:rPr>
          <w:rFonts w:ascii="Verdana" w:hAnsi="Verdana" w:cstheme="majorHAnsi"/>
          <w:szCs w:val="20"/>
          <w:lang w:val="fr-CH"/>
        </w:rPr>
        <w:tab/>
      </w:r>
      <w:r w:rsidRPr="00BD04F2">
        <w:rPr>
          <w:rFonts w:ascii="Verdana" w:hAnsi="Verdana" w:cstheme="majorHAnsi"/>
          <w:szCs w:val="20"/>
          <w:lang w:val="fr-CH"/>
        </w:rPr>
        <w:tab/>
      </w:r>
      <w:r w:rsidRPr="00BD04F2">
        <w:rPr>
          <w:rFonts w:ascii="Verdana" w:hAnsi="Verdana" w:cstheme="majorHAnsi"/>
          <w:szCs w:val="20"/>
          <w:lang w:val="fr-CH"/>
        </w:rPr>
        <w:t>pas commun</w:t>
      </w:r>
    </w:p>
    <w:p w:rsidRPr="00BD04F2" w:rsidR="00DF057B" w:rsidP="00930620" w:rsidRDefault="00DF057B" w14:paraId="61124E94" w14:textId="79833400">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0.01-0.1% :</w:t>
      </w:r>
      <w:r w:rsidRPr="00BD04F2">
        <w:rPr>
          <w:rFonts w:ascii="Verdana" w:hAnsi="Verdana" w:cstheme="majorHAnsi"/>
          <w:szCs w:val="20"/>
          <w:lang w:val="fr-CH"/>
        </w:rPr>
        <w:tab/>
      </w:r>
      <w:r w:rsidRPr="00BD04F2">
        <w:rPr>
          <w:rFonts w:ascii="Verdana" w:hAnsi="Verdana" w:cstheme="majorHAnsi"/>
          <w:szCs w:val="20"/>
          <w:lang w:val="fr-CH"/>
        </w:rPr>
        <w:t>rare</w:t>
      </w:r>
    </w:p>
    <w:p w:rsidRPr="00BD04F2" w:rsidR="00DF057B" w:rsidP="00930620" w:rsidRDefault="00DF057B" w14:paraId="165D6639" w14:textId="396EEB3F">
      <w:pPr>
        <w:pStyle w:val="Paragraphedeliste"/>
        <w:numPr>
          <w:ilvl w:val="1"/>
          <w:numId w:val="27"/>
        </w:num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t>&lt; 0.01% :</w:t>
      </w:r>
      <w:r w:rsidRPr="00BD04F2">
        <w:rPr>
          <w:rFonts w:ascii="Verdana" w:hAnsi="Verdana" w:cstheme="majorHAnsi"/>
          <w:szCs w:val="20"/>
          <w:lang w:val="fr-CH"/>
        </w:rPr>
        <w:tab/>
      </w:r>
      <w:r w:rsidRPr="00BD04F2">
        <w:rPr>
          <w:rFonts w:ascii="Verdana" w:hAnsi="Verdana" w:cstheme="majorHAnsi"/>
          <w:szCs w:val="20"/>
          <w:lang w:val="fr-CH"/>
        </w:rPr>
        <w:t>très rare</w:t>
      </w:r>
    </w:p>
    <w:p w:rsidRPr="00BD04F2" w:rsidR="002E65F8" w:rsidP="00930620" w:rsidRDefault="002E65F8" w14:paraId="1827661C" w14:textId="77777777">
      <w:pPr>
        <w:spacing w:before="120" w:after="120" w:line="276" w:lineRule="auto"/>
        <w:jc w:val="both"/>
        <w:rPr>
          <w:rFonts w:ascii="Verdana" w:hAnsi="Verdana" w:cstheme="majorHAnsi"/>
          <w:szCs w:val="20"/>
          <w:lang w:val="fr-CH"/>
        </w:rPr>
      </w:pPr>
    </w:p>
    <w:p w:rsidRPr="00BD04F2" w:rsidR="002E65F8" w:rsidP="00930620" w:rsidRDefault="002E65F8" w14:paraId="3A850C00" w14:textId="77777777">
      <w:pPr>
        <w:spacing w:before="120" w:after="120" w:line="276" w:lineRule="auto"/>
        <w:jc w:val="both"/>
        <w:rPr>
          <w:rFonts w:ascii="Verdana" w:hAnsi="Verdana" w:cstheme="majorHAnsi"/>
          <w:szCs w:val="20"/>
          <w:lang w:val="fr-CH"/>
        </w:rPr>
      </w:pPr>
      <w:r w:rsidRPr="00BD04F2">
        <w:rPr>
          <w:rFonts w:ascii="Verdana" w:hAnsi="Verdana" w:cstheme="majorHAnsi"/>
          <w:szCs w:val="20"/>
          <w:lang w:val="fr-CH"/>
        </w:rPr>
        <w:br w:type="page"/>
      </w:r>
    </w:p>
    <w:p w:rsidRPr="00BD04F2" w:rsidR="00F75D9D" w:rsidP="002E7C46" w:rsidRDefault="00F75D9D" w14:paraId="1D2A2EF3" w14:textId="77777777">
      <w:pPr>
        <w:pStyle w:val="Titre1"/>
      </w:pPr>
      <w:bookmarkStart w:name="_Toc127619235" w:id="42"/>
      <w:r w:rsidRPr="00BD04F2">
        <w:t>Résumé des slides (essentiel)</w:t>
      </w:r>
      <w:bookmarkEnd w:id="42"/>
    </w:p>
    <w:p w:rsidRPr="00BD04F2" w:rsidR="00061C97" w:rsidP="00930620" w:rsidRDefault="00061C97" w14:paraId="7657D6AC" w14:textId="77777777">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Le consentement éclairé a été conçu comme un moyen d’autonomiser le patient dans ses décisions</w:t>
      </w:r>
      <w:r w:rsidRPr="00BD04F2" w:rsidR="00A96ACC">
        <w:rPr>
          <w:rFonts w:ascii="Verdana" w:hAnsi="Verdana"/>
          <w:szCs w:val="20"/>
          <w:lang w:val="fr-CH"/>
        </w:rPr>
        <w:t>.</w:t>
      </w:r>
    </w:p>
    <w:p w:rsidRPr="00BD04F2" w:rsidR="00B472B3" w:rsidP="00930620" w:rsidRDefault="00061C97" w14:paraId="26D86E39" w14:textId="77777777">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Aujourd’hui, la médecine devient de plus en plus technique et la disponibilité relationnelle du médecin hospitalier n’est pas vraiment valorisée</w:t>
      </w:r>
      <w:r w:rsidRPr="00BD04F2" w:rsidR="00B472B3">
        <w:rPr>
          <w:rFonts w:ascii="Verdana" w:hAnsi="Verdana"/>
          <w:szCs w:val="20"/>
          <w:lang w:val="fr-CH"/>
        </w:rPr>
        <w:t>.</w:t>
      </w:r>
      <w:r w:rsidRPr="00BD04F2" w:rsidR="001055D7">
        <w:rPr>
          <w:rFonts w:ascii="Verdana" w:hAnsi="Verdana"/>
          <w:szCs w:val="20"/>
          <w:lang w:val="fr-CH"/>
        </w:rPr>
        <w:t xml:space="preserve"> Le risque réside dans le fait que le patient se retrouve seul face à des décisions difficiles et non plus que le médecin impose ses vues au patient (vision paternaliste).</w:t>
      </w:r>
    </w:p>
    <w:p w:rsidRPr="00BD04F2" w:rsidR="00B472B3" w:rsidP="00930620" w:rsidRDefault="00B472B3" w14:paraId="75A20F8B" w14:textId="43B5A75D">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Le médecin est tenu d’informer son patient et d’obtenir son consentement, indépendamment des difficultés inhérentes aux situations</w:t>
      </w:r>
      <w:r w:rsidRPr="00BD04F2" w:rsidR="001055D7">
        <w:rPr>
          <w:rFonts w:ascii="Verdana" w:hAnsi="Verdana"/>
          <w:szCs w:val="20"/>
          <w:lang w:val="fr-CH"/>
        </w:rPr>
        <w:t xml:space="preserve"> (complexité)</w:t>
      </w:r>
      <w:r w:rsidRPr="00BD04F2">
        <w:rPr>
          <w:rFonts w:ascii="Verdana" w:hAnsi="Verdana"/>
          <w:szCs w:val="20"/>
          <w:lang w:val="fr-CH"/>
        </w:rPr>
        <w:t>, aux personnes</w:t>
      </w:r>
      <w:r w:rsidRPr="00BD04F2" w:rsidR="001055D7">
        <w:rPr>
          <w:rFonts w:ascii="Verdana" w:hAnsi="Verdana"/>
          <w:szCs w:val="20"/>
          <w:lang w:val="fr-CH"/>
        </w:rPr>
        <w:t xml:space="preserve"> (langue)</w:t>
      </w:r>
      <w:r w:rsidRPr="00BD04F2">
        <w:rPr>
          <w:rFonts w:ascii="Verdana" w:hAnsi="Verdana"/>
          <w:szCs w:val="20"/>
          <w:lang w:val="fr-CH"/>
        </w:rPr>
        <w:t xml:space="preserve"> ou aux circonstances</w:t>
      </w:r>
      <w:r w:rsidRPr="00BD04F2" w:rsidR="001055D7">
        <w:rPr>
          <w:rFonts w:ascii="Verdana" w:hAnsi="Verdana"/>
          <w:szCs w:val="20"/>
          <w:lang w:val="fr-CH"/>
        </w:rPr>
        <w:t xml:space="preserve"> (manque de temps, défaut d’organisation) </w:t>
      </w:r>
      <w:r w:rsidRPr="00BD04F2" w:rsidR="0001789F">
        <w:rPr>
          <w:rFonts w:ascii="Verdana" w:hAnsi="Verdana"/>
          <w:szCs w:val="20"/>
          <w:lang w:val="fr-CH"/>
        </w:rPr>
        <w:t xml:space="preserve">l’information </w:t>
      </w:r>
      <w:r w:rsidRPr="00BD04F2" w:rsidR="001055D7">
        <w:rPr>
          <w:rFonts w:ascii="Verdana" w:hAnsi="Verdana"/>
          <w:szCs w:val="20"/>
          <w:lang w:val="fr-CH"/>
        </w:rPr>
        <w:t xml:space="preserve">doit rendue </w:t>
      </w:r>
      <w:r w:rsidRPr="00BD04F2">
        <w:rPr>
          <w:rFonts w:ascii="Verdana" w:hAnsi="Verdana"/>
          <w:szCs w:val="20"/>
          <w:lang w:val="fr-CH"/>
        </w:rPr>
        <w:t>simple, compréhensible et acceptable.</w:t>
      </w:r>
      <w:r w:rsidRPr="00BD04F2" w:rsidR="001055D7">
        <w:rPr>
          <w:rFonts w:ascii="Verdana" w:hAnsi="Verdana"/>
          <w:szCs w:val="20"/>
          <w:lang w:val="fr-CH"/>
        </w:rPr>
        <w:t xml:space="preserve"> En cas de violation de l’obligation d’informer, toute l’opération est « illicite ». Le médecin s’exposer à devoir réparer le préjudice subi par son patient.</w:t>
      </w:r>
    </w:p>
    <w:p w:rsidRPr="00BD04F2" w:rsidR="00B472B3" w:rsidP="00930620" w:rsidRDefault="00B472B3" w14:paraId="2C82A3A3" w14:textId="77777777">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Les exceptions à l’obligation d’informer sont peu nombreuses</w:t>
      </w:r>
      <w:r w:rsidRPr="00BD04F2" w:rsidR="001055D7">
        <w:rPr>
          <w:rFonts w:ascii="Verdana" w:hAnsi="Verdana"/>
          <w:szCs w:val="20"/>
          <w:lang w:val="fr-CH"/>
        </w:rPr>
        <w:t> :</w:t>
      </w:r>
    </w:p>
    <w:p w:rsidRPr="00BD04F2" w:rsidR="00B472B3" w:rsidP="00930620" w:rsidRDefault="002830F6" w14:paraId="00D35EDC" w14:textId="0D6226EB">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 (</w:t>
      </w:r>
      <w:r w:rsidRPr="00BD04F2" w:rsidR="00B472B3">
        <w:rPr>
          <w:rFonts w:ascii="Verdana" w:hAnsi="Verdana"/>
          <w:szCs w:val="20"/>
          <w:lang w:val="fr-CH"/>
        </w:rPr>
        <w:t>extrême) urgence de la situation</w:t>
      </w:r>
    </w:p>
    <w:p w:rsidRPr="00BD04F2" w:rsidR="001055D7" w:rsidP="00930620" w:rsidRDefault="001055D7" w14:paraId="47EAC5C9" w14:textId="77777777">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Les actes courants sans danger particulier (qui n’entraînent pas d’atteinte définitive ou durable à la santé)</w:t>
      </w:r>
    </w:p>
    <w:p w:rsidRPr="00BD04F2" w:rsidR="001055D7" w:rsidP="00930620" w:rsidRDefault="001055D7" w14:paraId="14B27BC7" w14:textId="77777777">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Le privilège thérapeutique (l’information impliquerait un état d’anxiété préjudiciable à la santé du patient)</w:t>
      </w:r>
    </w:p>
    <w:p w:rsidRPr="00BD04F2" w:rsidR="001055D7" w:rsidP="00930620" w:rsidRDefault="001055D7" w14:paraId="1E433260" w14:textId="77777777">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Le refus du patient</w:t>
      </w:r>
    </w:p>
    <w:p w:rsidRPr="00BD04F2" w:rsidR="00E930EB" w:rsidP="00930620" w:rsidRDefault="00E930EB" w14:paraId="25BC300D" w14:textId="24AC7EFE">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 xml:space="preserve">Le consentement est un « fait justificatif » à l’atteinte à l’intégrité corporelle. Le patient doit pouvoir le donner de manière libre (sans contrainte) et de manière éclairée, i.e. </w:t>
      </w:r>
      <w:r w:rsidRPr="00BD04F2" w:rsidR="0001789F">
        <w:rPr>
          <w:rFonts w:ascii="Verdana" w:hAnsi="Verdana"/>
          <w:szCs w:val="20"/>
          <w:lang w:val="fr-CH"/>
        </w:rPr>
        <w:t xml:space="preserve">Que </w:t>
      </w:r>
      <w:r w:rsidRPr="00BD04F2">
        <w:rPr>
          <w:rFonts w:ascii="Verdana" w:hAnsi="Verdana"/>
          <w:szCs w:val="20"/>
          <w:lang w:val="fr-CH"/>
        </w:rPr>
        <w:t xml:space="preserve">toutes les informations pertinentes ont été communiquées. Naturellement, cela suppose que le patient est capable de discernement au cas concret (capable d’agir raisonnablement). S’il ne l’est pas, le droit prévoit une substitution par les représentants légaux (pour les mineurs) ou par un système en cascade prévu par la loi (pour les majeurs), cf. </w:t>
      </w:r>
      <w:r w:rsidRPr="00BD04F2" w:rsidR="0001789F">
        <w:rPr>
          <w:rFonts w:ascii="Verdana" w:hAnsi="Verdana"/>
          <w:szCs w:val="20"/>
          <w:lang w:val="fr-CH"/>
        </w:rPr>
        <w:t>Art</w:t>
      </w:r>
      <w:r w:rsidRPr="00BD04F2">
        <w:rPr>
          <w:rFonts w:ascii="Verdana" w:hAnsi="Verdana"/>
          <w:szCs w:val="20"/>
          <w:lang w:val="fr-CH"/>
        </w:rPr>
        <w:t>. 377S CC)</w:t>
      </w:r>
    </w:p>
    <w:p w:rsidRPr="00BD04F2" w:rsidR="00B472B3" w:rsidP="00930620" w:rsidRDefault="00B472B3" w14:paraId="7E72BAB8" w14:textId="77777777">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I</w:t>
      </w:r>
      <w:r w:rsidRPr="00BD04F2" w:rsidR="00052FDE">
        <w:rPr>
          <w:rFonts w:ascii="Verdana" w:hAnsi="Verdana"/>
          <w:szCs w:val="20"/>
          <w:lang w:val="fr-CH"/>
        </w:rPr>
        <w:t>l convient de retenir qu’aucune forme n’est prévue en principe par le droit. Le plus souvent l’information est communiquée oralement. Idéalement, cette communication devrait être confirmée par la forme écrite, d’une manière compréhensible pour le patient. C’est d’autant plus judicieux lorsque la prise en charge est complexe ou risque</w:t>
      </w:r>
      <w:r w:rsidRPr="00BD04F2">
        <w:rPr>
          <w:rFonts w:ascii="Verdana" w:hAnsi="Verdana"/>
          <w:szCs w:val="20"/>
          <w:lang w:val="fr-CH"/>
        </w:rPr>
        <w:t>, étant précisé aussi qu’il appartient au médecin de prouver qu’il a informé et obtenu le consentement de son patient. La forme écrite est exigée dans certains domaines :</w:t>
      </w:r>
    </w:p>
    <w:p w:rsidRPr="00BD04F2" w:rsidR="00B472B3" w:rsidP="00930620" w:rsidRDefault="00052FDE" w14:paraId="3F043AB1" w14:textId="4B9EDBEC">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IVG (</w:t>
      </w:r>
      <w:hyperlink w:history="1" w:anchor="art_120" r:id="rId36">
        <w:r w:rsidRPr="0018416D">
          <w:rPr>
            <w:rStyle w:val="Lienhypertexte"/>
            <w:rFonts w:ascii="Verdana" w:hAnsi="Verdana"/>
            <w:szCs w:val="20"/>
            <w:lang w:val="fr-CH"/>
          </w:rPr>
          <w:t>art. 120 CP</w:t>
        </w:r>
      </w:hyperlink>
      <w:r w:rsidRPr="00BD04F2">
        <w:rPr>
          <w:rFonts w:ascii="Verdana" w:hAnsi="Verdana"/>
          <w:szCs w:val="20"/>
          <w:lang w:val="fr-CH"/>
        </w:rPr>
        <w:t>)</w:t>
      </w:r>
    </w:p>
    <w:p w:rsidRPr="00BD04F2" w:rsidR="00B472B3" w:rsidP="00930620" w:rsidRDefault="00052FDE" w14:paraId="204C6EC5" w14:textId="495CF5DB">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PMA (</w:t>
      </w:r>
      <w:hyperlink w:history="1" w:anchor="art_7" r:id="rId37">
        <w:r w:rsidRPr="00A35BCD">
          <w:rPr>
            <w:rStyle w:val="Lienhypertexte"/>
            <w:rFonts w:ascii="Verdana" w:hAnsi="Verdana"/>
            <w:szCs w:val="20"/>
            <w:lang w:val="fr-CH"/>
          </w:rPr>
          <w:t>art. 7 LPMA</w:t>
        </w:r>
      </w:hyperlink>
      <w:r w:rsidRPr="00BD04F2">
        <w:rPr>
          <w:rFonts w:ascii="Verdana" w:hAnsi="Verdana"/>
          <w:szCs w:val="20"/>
          <w:lang w:val="fr-CH"/>
        </w:rPr>
        <w:t>)</w:t>
      </w:r>
    </w:p>
    <w:p w:rsidRPr="00BD04F2" w:rsidR="00B472B3" w:rsidP="00930620" w:rsidRDefault="00052FDE" w14:paraId="2F424692" w14:textId="6B3E46C8">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Stérilisation (</w:t>
      </w:r>
      <w:hyperlink w:history="1" w:anchor="art_5" r:id="rId38">
        <w:r w:rsidRPr="00181C39">
          <w:rPr>
            <w:rStyle w:val="Lienhypertexte"/>
            <w:rFonts w:ascii="Verdana" w:hAnsi="Verdana"/>
            <w:szCs w:val="20"/>
            <w:lang w:val="fr-CH"/>
          </w:rPr>
          <w:t>art. 5 à 7</w:t>
        </w:r>
      </w:hyperlink>
      <w:r w:rsidRPr="00BD04F2">
        <w:rPr>
          <w:rFonts w:ascii="Verdana" w:hAnsi="Verdana"/>
          <w:szCs w:val="20"/>
          <w:lang w:val="fr-CH"/>
        </w:rPr>
        <w:t xml:space="preserve"> de la </w:t>
      </w:r>
      <w:hyperlink w:history="1" r:id="rId39">
        <w:r w:rsidRPr="009325D7">
          <w:rPr>
            <w:rStyle w:val="Lienhypertexte"/>
            <w:rFonts w:ascii="Verdana" w:hAnsi="Verdana"/>
            <w:szCs w:val="20"/>
            <w:lang w:val="fr-CH"/>
          </w:rPr>
          <w:t>Loi sur la stérilisation</w:t>
        </w:r>
      </w:hyperlink>
      <w:r w:rsidRPr="00BD04F2">
        <w:rPr>
          <w:rFonts w:ascii="Verdana" w:hAnsi="Verdana"/>
          <w:szCs w:val="20"/>
          <w:lang w:val="fr-CH"/>
        </w:rPr>
        <w:t>)</w:t>
      </w:r>
    </w:p>
    <w:p w:rsidRPr="00BD04F2" w:rsidR="00B472B3" w:rsidP="00930620" w:rsidRDefault="00052FDE" w14:paraId="1C9A2210" w14:textId="3528FE92">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 xml:space="preserve">Don d’organes (art. 12 </w:t>
      </w:r>
      <w:hyperlink w:history="1" r:id="rId40">
        <w:r w:rsidRPr="00C0495B">
          <w:rPr>
            <w:rStyle w:val="Lienhypertexte"/>
            <w:rFonts w:ascii="Verdana" w:hAnsi="Verdana"/>
            <w:szCs w:val="20"/>
            <w:lang w:val="fr-CH"/>
          </w:rPr>
          <w:t>Loi sur la transplantation</w:t>
        </w:r>
      </w:hyperlink>
      <w:r w:rsidRPr="00BD04F2">
        <w:rPr>
          <w:rFonts w:ascii="Verdana" w:hAnsi="Verdana"/>
          <w:szCs w:val="20"/>
          <w:lang w:val="fr-CH"/>
        </w:rPr>
        <w:t>)</w:t>
      </w:r>
    </w:p>
    <w:p w:rsidRPr="00BD04F2" w:rsidR="00B472B3" w:rsidP="00930620" w:rsidRDefault="00052FDE" w14:paraId="60197D2D" w14:textId="2C4928B3">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 xml:space="preserve">Analyse génétique </w:t>
      </w:r>
      <w:r w:rsidRPr="00BD04F2" w:rsidR="0008315C">
        <w:rPr>
          <w:rFonts w:ascii="Verdana" w:hAnsi="Verdana"/>
          <w:szCs w:val="20"/>
          <w:lang w:val="fr-CH"/>
        </w:rPr>
        <w:t>(</w:t>
      </w:r>
      <w:hyperlink w:history="1" w:anchor="art_18" r:id="rId41">
        <w:r w:rsidRPr="00457B6E">
          <w:rPr>
            <w:rStyle w:val="Lienhypertexte"/>
            <w:rFonts w:ascii="Verdana" w:hAnsi="Verdana"/>
            <w:szCs w:val="20"/>
            <w:lang w:val="fr-CH"/>
          </w:rPr>
          <w:t>art. 18</w:t>
        </w:r>
      </w:hyperlink>
      <w:r w:rsidRPr="00BD04F2">
        <w:rPr>
          <w:rFonts w:ascii="Verdana" w:hAnsi="Verdana"/>
          <w:szCs w:val="20"/>
          <w:lang w:val="fr-CH"/>
        </w:rPr>
        <w:t xml:space="preserve"> </w:t>
      </w:r>
      <w:hyperlink w:history="1" r:id="rId42">
        <w:r w:rsidRPr="008D0A8D">
          <w:rPr>
            <w:rStyle w:val="Lienhypertexte"/>
            <w:rFonts w:ascii="Verdana" w:hAnsi="Verdana"/>
            <w:szCs w:val="20"/>
            <w:lang w:val="fr-CH"/>
          </w:rPr>
          <w:t>LAGH</w:t>
        </w:r>
      </w:hyperlink>
      <w:r w:rsidRPr="00BD04F2">
        <w:rPr>
          <w:rFonts w:ascii="Verdana" w:hAnsi="Verdana"/>
          <w:szCs w:val="20"/>
          <w:lang w:val="fr-CH"/>
        </w:rPr>
        <w:t>)</w:t>
      </w:r>
    </w:p>
    <w:p w:rsidRPr="00BD04F2" w:rsidR="00052FDE" w:rsidP="00930620" w:rsidRDefault="00052FDE" w14:paraId="66724D8A" w14:textId="77777777">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Il existe aussi bien des formulaires adéquats pour l’information au patient que pour le recueil du consentement, parfois ces documents sont combinés. Ces documents sont utiles, quoique parfois leur perception est trompeuse (notamment par manque d’exhaustivité, du moment ou des circonstances).</w:t>
      </w:r>
    </w:p>
    <w:p w:rsidR="003316E8" w:rsidRDefault="003316E8" w14:paraId="1A6DA5DF" w14:textId="77777777">
      <w:pPr>
        <w:rPr>
          <w:rFonts w:ascii="Verdana" w:hAnsi="Verdana"/>
          <w:szCs w:val="20"/>
          <w:lang w:val="fr-CH"/>
        </w:rPr>
      </w:pPr>
      <w:r>
        <w:rPr>
          <w:rFonts w:ascii="Verdana" w:hAnsi="Verdana"/>
          <w:szCs w:val="20"/>
          <w:lang w:val="fr-CH"/>
        </w:rPr>
        <w:br w:type="page"/>
      </w:r>
    </w:p>
    <w:p w:rsidRPr="00BD04F2" w:rsidR="00061C97" w:rsidP="00930620" w:rsidRDefault="00061C97" w14:paraId="3BAD40D2" w14:textId="090B8804">
      <w:pPr>
        <w:pStyle w:val="Paragraphedeliste"/>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Ne pas oublier les autres points de la Check-list (qui, quoi, où, quand)</w:t>
      </w:r>
    </w:p>
    <w:p w:rsidRPr="00BD04F2" w:rsidR="00052FDE" w:rsidP="00930620" w:rsidRDefault="00052FDE" w14:paraId="009C882B" w14:textId="77777777">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Celui qui informe devrait également recueillir le consentement</w:t>
      </w:r>
    </w:p>
    <w:p w:rsidRPr="00BD04F2" w:rsidR="00052FDE" w:rsidP="00930620" w:rsidRDefault="00052FDE" w14:paraId="10207EDD" w14:textId="77777777">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L’information devrait contenir</w:t>
      </w:r>
    </w:p>
    <w:p w:rsidRPr="00BD04F2" w:rsidR="00052FDE" w:rsidP="00930620" w:rsidRDefault="00052FDE" w14:paraId="49AFA254"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L’identité de la personne ou des personnes qui ont donné l’information</w:t>
      </w:r>
    </w:p>
    <w:p w:rsidRPr="00BD04F2" w:rsidR="00052FDE" w:rsidP="00930620" w:rsidRDefault="00052FDE" w14:paraId="71F33EC7"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L’identité de la personne qui a reçu l’information</w:t>
      </w:r>
    </w:p>
    <w:p w:rsidRPr="00BD04F2" w:rsidR="00052FDE" w:rsidP="00930620" w:rsidRDefault="00052FDE" w14:paraId="1BBC3AC0"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Les informations données</w:t>
      </w:r>
    </w:p>
    <w:p w:rsidRPr="00BD04F2" w:rsidR="00052FDE" w:rsidP="00930620" w:rsidRDefault="00052FDE" w14:paraId="1F26A54E"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Le moment, la durée et le lieu de l’information et du consentement</w:t>
      </w:r>
    </w:p>
    <w:p w:rsidRPr="00BD04F2" w:rsidR="00052FDE" w:rsidP="00930620" w:rsidRDefault="00052FDE" w14:paraId="28A054BD"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La volonté exprimée par le patient et sa perception par le professionnel</w:t>
      </w:r>
    </w:p>
    <w:p w:rsidRPr="00BD04F2" w:rsidR="00052FDE" w:rsidP="00930620" w:rsidRDefault="00052FDE" w14:paraId="29DFA15E" w14:textId="77777777">
      <w:pPr>
        <w:pStyle w:val="Paragraphedeliste"/>
        <w:numPr>
          <w:ilvl w:val="2"/>
          <w:numId w:val="33"/>
        </w:numPr>
        <w:spacing w:before="120" w:after="120" w:line="276" w:lineRule="auto"/>
        <w:jc w:val="both"/>
        <w:rPr>
          <w:rFonts w:ascii="Verdana" w:hAnsi="Verdana"/>
          <w:szCs w:val="20"/>
          <w:lang w:val="fr-CH"/>
        </w:rPr>
      </w:pPr>
      <w:r w:rsidRPr="00BD04F2">
        <w:rPr>
          <w:rFonts w:ascii="Verdana" w:hAnsi="Verdana"/>
          <w:szCs w:val="20"/>
          <w:lang w:val="fr-CH"/>
        </w:rPr>
        <w:t>Le ou les éventuels formulaires remplis au sujet de l’information ou du consentement</w:t>
      </w:r>
    </w:p>
    <w:p w:rsidRPr="00BD04F2" w:rsidR="00F75D9D" w:rsidP="00930620" w:rsidRDefault="00061C97" w14:paraId="07B51377" w14:textId="77777777">
      <w:pPr>
        <w:pStyle w:val="Paragraphedeliste"/>
        <w:numPr>
          <w:ilvl w:val="0"/>
          <w:numId w:val="33"/>
        </w:numPr>
        <w:autoSpaceDE w:val="0"/>
        <w:autoSpaceDN w:val="0"/>
        <w:adjustRightInd w:val="0"/>
        <w:spacing w:before="120" w:after="120" w:line="276" w:lineRule="auto"/>
        <w:jc w:val="both"/>
        <w:rPr>
          <w:rFonts w:ascii="Verdana" w:hAnsi="Verdana" w:cstheme="minorHAnsi"/>
          <w:szCs w:val="20"/>
          <w:lang w:val="fr-CH"/>
        </w:rPr>
      </w:pPr>
      <w:r w:rsidRPr="00BD04F2">
        <w:rPr>
          <w:rFonts w:ascii="Verdana" w:hAnsi="Verdana"/>
          <w:szCs w:val="20"/>
          <w:lang w:val="fr-CH"/>
        </w:rPr>
        <w:t>Mettre l’accent aussi bien sur les aspects informationnels que relationnels.</w:t>
      </w:r>
      <w:r w:rsidRPr="00BD04F2" w:rsidR="00052FDE">
        <w:rPr>
          <w:rFonts w:ascii="Verdana" w:hAnsi="Verdana"/>
          <w:szCs w:val="20"/>
          <w:lang w:val="fr-CH"/>
        </w:rPr>
        <w:t xml:space="preserve"> Il serait souhaitable de privilégier un lieu protégé, où l’intimité est préservée, et d’éviter le moment de la grande visite au chevet du patient ou le </w:t>
      </w:r>
      <w:r w:rsidRPr="00BD04F2" w:rsidR="00052FDE">
        <w:rPr>
          <w:rFonts w:ascii="Verdana" w:hAnsi="Verdana" w:cstheme="minorHAnsi"/>
          <w:szCs w:val="20"/>
          <w:lang w:val="fr-CH"/>
        </w:rPr>
        <w:t xml:space="preserve">couloir ou la salle d’examen. </w:t>
      </w:r>
      <w:r w:rsidRPr="00BD04F2" w:rsidR="00E5604A">
        <w:rPr>
          <w:rFonts w:ascii="Verdana" w:hAnsi="Verdana" w:cstheme="minorHAnsi"/>
          <w:szCs w:val="20"/>
          <w:lang w:val="fr-CH"/>
        </w:rPr>
        <w:t>Par ailleurs, il s’agit d’un dialogue, qui doit laisser le temps au patient de digérer l’information, de poser des questions</w:t>
      </w:r>
      <w:r w:rsidRPr="00BD04F2" w:rsidR="00161F08">
        <w:rPr>
          <w:rFonts w:ascii="Verdana" w:hAnsi="Verdana" w:cstheme="minorHAnsi"/>
          <w:szCs w:val="20"/>
          <w:lang w:val="fr-CH"/>
        </w:rPr>
        <w:t>, avec un délai de réflexion.</w:t>
      </w:r>
    </w:p>
    <w:p w:rsidRPr="00BD04F2" w:rsidR="00A96ACC" w:rsidP="00930620" w:rsidRDefault="00DF057B" w14:paraId="650D0DA7" w14:textId="77777777">
      <w:pPr>
        <w:pStyle w:val="Flietext"/>
        <w:numPr>
          <w:ilvl w:val="0"/>
          <w:numId w:val="33"/>
        </w:numPr>
        <w:spacing w:before="120" w:after="120" w:line="276" w:lineRule="auto"/>
        <w:jc w:val="both"/>
        <w:rPr>
          <w:rFonts w:ascii="Verdana" w:hAnsi="Verdana"/>
          <w:szCs w:val="20"/>
          <w:lang w:val="fr-CH"/>
        </w:rPr>
      </w:pPr>
      <w:r w:rsidRPr="00BD04F2">
        <w:rPr>
          <w:rFonts w:ascii="Verdana" w:hAnsi="Verdana"/>
          <w:szCs w:val="20"/>
          <w:lang w:val="fr-CH"/>
        </w:rPr>
        <w:t>En communication</w:t>
      </w:r>
    </w:p>
    <w:p w:rsidRPr="00BD04F2" w:rsidR="00A96ACC" w:rsidP="00930620" w:rsidRDefault="00DF057B" w14:paraId="40D1ACB0"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La manière dont les soignants communiquent le risque va affecter la perception du risque par le patient</w:t>
      </w:r>
    </w:p>
    <w:p w:rsidRPr="00BD04F2" w:rsidR="00A96ACC" w:rsidP="00930620" w:rsidRDefault="00DF057B" w14:paraId="46DAC0CA"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Compléter les explications verbales par des données numériques</w:t>
      </w:r>
    </w:p>
    <w:p w:rsidRPr="00BD04F2" w:rsidR="00A96ACC" w:rsidP="00930620" w:rsidRDefault="00DF057B" w14:paraId="5122F1F4"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Utiliser des nombres absolus plutôt que des risques relatifs ou des changements de pourcentage</w:t>
      </w:r>
    </w:p>
    <w:p w:rsidRPr="00BD04F2" w:rsidR="00A96ACC" w:rsidP="00930620" w:rsidRDefault="00DF057B" w14:paraId="44A8FF0C"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Présenter les risques en utilisant une perspective positive et négative et utiliser un dénominateur commun</w:t>
      </w:r>
    </w:p>
    <w:p w:rsidRPr="00BD04F2" w:rsidR="00A96ACC" w:rsidP="00930620" w:rsidRDefault="00DF057B" w14:paraId="224D4E4C"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L’utilisation d’aides visuelles autant que possible pour optimaliser la compréhension</w:t>
      </w:r>
    </w:p>
    <w:p w:rsidRPr="00BD04F2" w:rsidR="002E65F8" w:rsidP="00930620" w:rsidRDefault="00DF057B" w14:paraId="0AC17269" w14:textId="77777777">
      <w:pPr>
        <w:pStyle w:val="Flietext"/>
        <w:numPr>
          <w:ilvl w:val="1"/>
          <w:numId w:val="33"/>
        </w:numPr>
        <w:spacing w:before="120" w:after="120" w:line="276" w:lineRule="auto"/>
        <w:jc w:val="both"/>
        <w:rPr>
          <w:rFonts w:ascii="Verdana" w:hAnsi="Verdana"/>
          <w:szCs w:val="20"/>
          <w:lang w:val="fr-CH"/>
        </w:rPr>
      </w:pPr>
      <w:r w:rsidRPr="00BD04F2">
        <w:rPr>
          <w:rFonts w:ascii="Verdana" w:hAnsi="Verdana"/>
          <w:szCs w:val="20"/>
          <w:lang w:val="fr-CH"/>
        </w:rPr>
        <w:t>S’assurer que le consentement informé du patient repose sur de l’information et non juste des données</w:t>
      </w:r>
    </w:p>
    <w:p w:rsidRPr="00BD04F2" w:rsidR="002E65F8" w:rsidP="00930620" w:rsidRDefault="002E65F8" w14:paraId="3A4ECD7C" w14:textId="77777777">
      <w:pPr>
        <w:spacing w:before="120" w:after="120" w:line="276" w:lineRule="auto"/>
        <w:jc w:val="both"/>
        <w:rPr>
          <w:rFonts w:ascii="Verdana" w:hAnsi="Verdana"/>
          <w:szCs w:val="20"/>
          <w:lang w:val="fr-CH"/>
        </w:rPr>
      </w:pPr>
      <w:r w:rsidRPr="00BD04F2">
        <w:rPr>
          <w:rFonts w:ascii="Verdana" w:hAnsi="Verdana"/>
          <w:szCs w:val="20"/>
          <w:lang w:val="fr-CH"/>
        </w:rPr>
        <w:br w:type="page"/>
      </w:r>
    </w:p>
    <w:p w:rsidRPr="00BD04F2" w:rsidR="00F75D9D" w:rsidP="002E7C46" w:rsidRDefault="00F75D9D" w14:paraId="7C2DCF62" w14:textId="77777777">
      <w:pPr>
        <w:pStyle w:val="Titre1"/>
      </w:pPr>
      <w:bookmarkStart w:name="_Toc127619236" w:id="43"/>
      <w:r w:rsidRPr="00BD04F2">
        <w:t>Apports complémentaires tirés de l’ouvrage du Prof. Olivier Guill</w:t>
      </w:r>
      <w:r w:rsidRPr="00BD04F2" w:rsidR="00052FDE">
        <w:t>o</w:t>
      </w:r>
      <w:r w:rsidRPr="00BD04F2">
        <w:t>d (ou autre)</w:t>
      </w:r>
      <w:bookmarkEnd w:id="43"/>
    </w:p>
    <w:p w:rsidRPr="00BD04F2" w:rsidR="00AB4471" w:rsidP="00930620" w:rsidRDefault="008F24DC" w14:paraId="0479CB6E" w14:textId="77777777">
      <w:pPr>
        <w:spacing w:before="120" w:after="120" w:line="276" w:lineRule="auto"/>
        <w:jc w:val="both"/>
        <w:rPr>
          <w:rFonts w:ascii="Verdana" w:hAnsi="Verdana" w:cstheme="minorHAnsi"/>
          <w:b/>
          <w:szCs w:val="20"/>
          <w:lang w:val="fr-CH"/>
        </w:rPr>
      </w:pPr>
      <w:r w:rsidRPr="00BD04F2">
        <w:rPr>
          <w:rFonts w:ascii="Verdana" w:hAnsi="Verdana" w:cstheme="minorHAnsi"/>
          <w:b/>
          <w:szCs w:val="20"/>
          <w:lang w:val="fr-CH"/>
        </w:rPr>
        <w:t>Nature du droit de consentir à un acte médical</w:t>
      </w:r>
      <w:r w:rsidRPr="00BD04F2" w:rsidR="00E5604A">
        <w:rPr>
          <w:rFonts w:ascii="Verdana" w:hAnsi="Verdana" w:cstheme="minorHAnsi"/>
          <w:b/>
          <w:szCs w:val="20"/>
          <w:lang w:val="fr-CH"/>
        </w:rPr>
        <w:t xml:space="preserve"> (p. 297)</w:t>
      </w:r>
    </w:p>
    <w:p w:rsidRPr="00BD04F2" w:rsidR="008F24DC" w:rsidP="00930620" w:rsidRDefault="008F24DC" w14:paraId="4F7DF2EF" w14:textId="77777777">
      <w:pPr>
        <w:pStyle w:val="Paragraphedeliste"/>
        <w:numPr>
          <w:ilvl w:val="1"/>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Sujet à représentation</w:t>
      </w:r>
    </w:p>
    <w:p w:rsidRPr="00BD04F2" w:rsidR="008F24DC" w:rsidP="00930620" w:rsidRDefault="008F24DC" w14:paraId="2DDD889A" w14:textId="77777777">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Stérilisation : droit strictement personnel sujet à représentation, mais subordonné à des conditions supplémentaire (art. 7 de la Loi sur la stérilisation)</w:t>
      </w:r>
    </w:p>
    <w:p w:rsidRPr="00BD04F2" w:rsidR="008F24DC" w:rsidP="00930620" w:rsidRDefault="008F24DC" w14:paraId="26CE4441" w14:textId="77777777">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L’IVG est un droit sujet à représentation</w:t>
      </w:r>
    </w:p>
    <w:p w:rsidRPr="00BD04F2" w:rsidR="008F24DC" w:rsidP="00930620" w:rsidRDefault="008F24DC" w14:paraId="521D2FF4" w14:textId="77777777">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prélèvement d’organes, de tissus est un droit sujet à représentation</w:t>
      </w:r>
    </w:p>
    <w:p w:rsidRPr="00BD04F2" w:rsidR="008F24DC" w:rsidP="00930620" w:rsidRDefault="008F24DC" w14:paraId="44C58246" w14:textId="77777777">
      <w:pPr>
        <w:pStyle w:val="Paragraphedeliste"/>
        <w:numPr>
          <w:ilvl w:val="1"/>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Non sujet à représentation</w:t>
      </w:r>
    </w:p>
    <w:p w:rsidRPr="00BD04F2" w:rsidR="008F24DC" w:rsidP="00930620" w:rsidRDefault="008F24DC" w14:paraId="6823A114" w14:textId="77777777">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recours à la PMA</w:t>
      </w:r>
    </w:p>
    <w:p w:rsidRPr="00BD04F2" w:rsidR="008F24DC" w:rsidP="00930620" w:rsidRDefault="008F24DC" w14:paraId="39E75A74" w14:textId="77777777">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test ADN</w:t>
      </w:r>
    </w:p>
    <w:p w:rsidRPr="00BD04F2" w:rsidR="007B291C" w:rsidP="00930620" w:rsidRDefault="007B291C" w14:paraId="582214BB" w14:textId="77777777">
      <w:pPr>
        <w:pStyle w:val="Paragraphedeliste"/>
        <w:numPr>
          <w:ilvl w:val="0"/>
          <w:numId w:val="27"/>
        </w:numPr>
        <w:spacing w:before="120" w:after="120" w:line="276" w:lineRule="auto"/>
        <w:jc w:val="both"/>
        <w:rPr>
          <w:rFonts w:ascii="Verdana" w:hAnsi="Verdana" w:cstheme="minorHAnsi"/>
          <w:b/>
          <w:szCs w:val="20"/>
          <w:lang w:val="fr-CH"/>
        </w:rPr>
      </w:pPr>
      <w:r w:rsidRPr="00BD04F2">
        <w:rPr>
          <w:rFonts w:ascii="Verdana" w:hAnsi="Verdana" w:cstheme="minorHAnsi"/>
          <w:b/>
          <w:szCs w:val="20"/>
          <w:lang w:val="fr-CH"/>
        </w:rPr>
        <w:t>L</w:t>
      </w:r>
      <w:r w:rsidRPr="00BD04F2" w:rsidR="00DF057B">
        <w:rPr>
          <w:rFonts w:ascii="Verdana" w:hAnsi="Verdana" w:cstheme="minorHAnsi"/>
          <w:b/>
          <w:szCs w:val="20"/>
          <w:lang w:val="fr-CH"/>
        </w:rPr>
        <w:t>a limitation du</w:t>
      </w:r>
      <w:r w:rsidRPr="00BD04F2">
        <w:rPr>
          <w:rFonts w:ascii="Verdana" w:hAnsi="Verdana" w:cstheme="minorHAnsi"/>
          <w:b/>
          <w:szCs w:val="20"/>
          <w:lang w:val="fr-CH"/>
        </w:rPr>
        <w:t xml:space="preserve"> refus de soins</w:t>
      </w:r>
      <w:r w:rsidRPr="00BD04F2" w:rsidR="00E5604A">
        <w:rPr>
          <w:rFonts w:ascii="Verdana" w:hAnsi="Verdana" w:cstheme="minorHAnsi"/>
          <w:b/>
          <w:szCs w:val="20"/>
          <w:lang w:val="fr-CH"/>
        </w:rPr>
        <w:t xml:space="preserve"> (p. 320)</w:t>
      </w:r>
    </w:p>
    <w:p w:rsidRPr="00BD04F2" w:rsidR="007B291C" w:rsidP="00930620" w:rsidRDefault="007B291C" w14:paraId="2E822DF7" w14:textId="77777777">
      <w:pPr>
        <w:pStyle w:val="Paragraphedeliste"/>
        <w:numPr>
          <w:ilvl w:val="1"/>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refus doit être libre et éclairé, comme le consentement</w:t>
      </w:r>
    </w:p>
    <w:p w:rsidRPr="00BD04F2" w:rsidR="007B291C" w:rsidP="00930620" w:rsidRDefault="001854A2" w14:paraId="532A2303" w14:textId="64A9C195">
      <w:pPr>
        <w:pStyle w:val="Paragraphedeliste"/>
        <w:numPr>
          <w:ilvl w:val="1"/>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 xml:space="preserve">La limitation du refus est </w:t>
      </w:r>
      <w:r w:rsidRPr="00BD04F2" w:rsidR="0022704B">
        <w:rPr>
          <w:rFonts w:ascii="Verdana" w:hAnsi="Verdana" w:cstheme="minorHAnsi"/>
          <w:szCs w:val="20"/>
          <w:lang w:val="fr-CH"/>
        </w:rPr>
        <w:t>possible :</w:t>
      </w:r>
      <w:r w:rsidRPr="00BD04F2" w:rsidR="007B291C">
        <w:rPr>
          <w:rFonts w:ascii="Verdana" w:hAnsi="Verdana" w:cstheme="minorHAnsi"/>
          <w:szCs w:val="20"/>
          <w:lang w:val="fr-CH"/>
        </w:rPr>
        <w:t xml:space="preserve"> dans ce cas la limitation doit remplir les conditions suivantes : 1. Existence d’une base légale, 2. Justification par un intérêt public ou par la protection d’un droit fondamental d’autrui, 3. Respect de la proportionnalité et du noyau dur de la liberté personnelle</w:t>
      </w:r>
    </w:p>
    <w:p w:rsidRPr="00BD04F2" w:rsidR="007B291C" w:rsidP="00930620" w:rsidRDefault="007B291C" w14:paraId="128E1278" w14:textId="60863511">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u w:val="single"/>
          <w:lang w:val="fr-CH"/>
        </w:rPr>
        <w:t>Mesure de lutte contre les épidémie</w:t>
      </w:r>
      <w:r w:rsidRPr="00BD04F2" w:rsidR="00DF057B">
        <w:rPr>
          <w:rFonts w:ascii="Verdana" w:hAnsi="Verdana" w:cstheme="minorHAnsi"/>
          <w:szCs w:val="20"/>
          <w:u w:val="single"/>
          <w:lang w:val="fr-CH"/>
        </w:rPr>
        <w:t>s</w:t>
      </w:r>
      <w:r w:rsidRPr="00BD04F2">
        <w:rPr>
          <w:rFonts w:ascii="Verdana" w:hAnsi="Verdana" w:cstheme="minorHAnsi"/>
          <w:szCs w:val="20"/>
          <w:lang w:val="fr-CH"/>
        </w:rPr>
        <w:t xml:space="preserve"> (cf. </w:t>
      </w:r>
      <w:r w:rsidRPr="00BD04F2" w:rsidR="0001789F">
        <w:rPr>
          <w:rFonts w:ascii="Verdana" w:hAnsi="Verdana" w:cstheme="minorHAnsi"/>
          <w:szCs w:val="20"/>
          <w:lang w:val="fr-CH"/>
        </w:rPr>
        <w:t xml:space="preserve">La </w:t>
      </w:r>
      <w:r w:rsidRPr="00BD04F2">
        <w:rPr>
          <w:rFonts w:ascii="Verdana" w:hAnsi="Verdana" w:cstheme="minorHAnsi"/>
          <w:szCs w:val="20"/>
          <w:lang w:val="fr-CH"/>
        </w:rPr>
        <w:t xml:space="preserve">Loi fédérale sur la lutte contre les maladies transmissibles de l’homme, </w:t>
      </w:r>
      <w:hyperlink w:history="1" r:id="rId43">
        <w:r w:rsidRPr="005279A4" w:rsidR="00197740">
          <w:rPr>
            <w:rStyle w:val="Lienhypertexte"/>
            <w:rFonts w:ascii="Verdana" w:hAnsi="Verdana" w:cstheme="minorHAnsi"/>
            <w:szCs w:val="20"/>
            <w:lang w:val="fr-CH"/>
          </w:rPr>
          <w:t>LE</w:t>
        </w:r>
        <w:r w:rsidRPr="005279A4" w:rsidR="0001789F">
          <w:rPr>
            <w:rStyle w:val="Lienhypertexte"/>
            <w:rFonts w:ascii="Verdana" w:hAnsi="Verdana" w:cstheme="minorHAnsi"/>
            <w:szCs w:val="20"/>
            <w:lang w:val="fr-CH"/>
          </w:rPr>
          <w:t>p</w:t>
        </w:r>
      </w:hyperlink>
      <w:r w:rsidRPr="00BD04F2">
        <w:rPr>
          <w:rFonts w:ascii="Verdana" w:hAnsi="Verdana" w:cstheme="minorHAnsi"/>
          <w:szCs w:val="20"/>
          <w:lang w:val="fr-CH"/>
        </w:rPr>
        <w:t>)</w:t>
      </w:r>
    </w:p>
    <w:p w:rsidRPr="00BD04F2" w:rsidR="007B291C" w:rsidP="00930620" w:rsidRDefault="007B291C" w14:paraId="6F673A0A"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La surveillance médicale</w:t>
      </w:r>
    </w:p>
    <w:p w:rsidRPr="00BD04F2" w:rsidR="007B291C" w:rsidP="00930620" w:rsidRDefault="007B291C" w14:paraId="662A9787"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La mise en quarantaine</w:t>
      </w:r>
    </w:p>
    <w:p w:rsidRPr="00BD04F2" w:rsidR="007B291C" w:rsidP="00930620" w:rsidRDefault="007B291C" w14:paraId="0B0406AA"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La mise en isolement</w:t>
      </w:r>
    </w:p>
    <w:p w:rsidRPr="00BD04F2" w:rsidR="007B291C" w:rsidP="00930620" w:rsidRDefault="007B291C" w14:paraId="34805B76"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L’examen médical</w:t>
      </w:r>
    </w:p>
    <w:p w:rsidRPr="00BD04F2" w:rsidR="007B291C" w:rsidP="00930620" w:rsidRDefault="007B291C" w14:paraId="3B417E15"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Le traitement médical : ne peut pas être ordonné par l’autorité cantonale compétente</w:t>
      </w:r>
    </w:p>
    <w:p w:rsidRPr="00BD04F2" w:rsidR="007B291C" w:rsidP="00930620" w:rsidRDefault="007B291C" w14:paraId="5A8EB8A7" w14:textId="07C274AB">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u w:val="single"/>
          <w:lang w:val="fr-CH"/>
        </w:rPr>
        <w:t>Vaccinations obligatoires</w:t>
      </w:r>
      <w:r w:rsidRPr="00BD04F2">
        <w:rPr>
          <w:rFonts w:ascii="Verdana" w:hAnsi="Verdana" w:cstheme="minorHAnsi"/>
          <w:szCs w:val="20"/>
          <w:lang w:val="fr-CH"/>
        </w:rPr>
        <w:t> : si un danger sérieux est établi (</w:t>
      </w:r>
      <w:hyperlink w:history="1" w:anchor="art_38" r:id="rId44">
        <w:r w:rsidRPr="00946AE5">
          <w:rPr>
            <w:rStyle w:val="Lienhypertexte"/>
            <w:rFonts w:ascii="Verdana" w:hAnsi="Verdana" w:cstheme="minorHAnsi"/>
            <w:szCs w:val="20"/>
            <w:lang w:val="fr-CH"/>
          </w:rPr>
          <w:t xml:space="preserve">art. 38 </w:t>
        </w:r>
        <w:r w:rsidRPr="00946AE5" w:rsidR="00946AE5">
          <w:rPr>
            <w:rStyle w:val="Lienhypertexte"/>
            <w:rFonts w:ascii="Verdana" w:hAnsi="Verdana" w:cstheme="minorHAnsi"/>
            <w:szCs w:val="20"/>
            <w:lang w:val="fr-CH"/>
          </w:rPr>
          <w:t>LE</w:t>
        </w:r>
        <w:r w:rsidRPr="00946AE5" w:rsidR="0001789F">
          <w:rPr>
            <w:rStyle w:val="Lienhypertexte"/>
            <w:rFonts w:ascii="Verdana" w:hAnsi="Verdana" w:cstheme="minorHAnsi"/>
            <w:szCs w:val="20"/>
            <w:lang w:val="fr-CH"/>
          </w:rPr>
          <w:t>p</w:t>
        </w:r>
      </w:hyperlink>
      <w:r w:rsidRPr="00BD04F2">
        <w:rPr>
          <w:rFonts w:ascii="Verdana" w:hAnsi="Verdana" w:cstheme="minorHAnsi"/>
          <w:szCs w:val="20"/>
          <w:lang w:val="fr-CH"/>
        </w:rPr>
        <w:t>), les cantons peuvent déclarer une vaccination obligatoire. Par ailleurs, il n’est pas possible de décréter une obligation générale de vaccination de toute la population</w:t>
      </w:r>
    </w:p>
    <w:p w:rsidRPr="00BD04F2" w:rsidR="007B291C" w:rsidP="00930620" w:rsidRDefault="007B291C" w14:paraId="304ED462" w14:textId="77777777">
      <w:pPr>
        <w:pStyle w:val="Paragraphedeliste"/>
        <w:numPr>
          <w:ilvl w:val="2"/>
          <w:numId w:val="27"/>
        </w:numPr>
        <w:spacing w:before="120" w:after="120" w:line="276" w:lineRule="auto"/>
        <w:jc w:val="both"/>
        <w:rPr>
          <w:rFonts w:ascii="Verdana" w:hAnsi="Verdana" w:cstheme="minorHAnsi"/>
          <w:szCs w:val="20"/>
          <w:u w:val="single"/>
          <w:lang w:val="fr-CH"/>
        </w:rPr>
      </w:pPr>
      <w:r w:rsidRPr="00BD04F2">
        <w:rPr>
          <w:rFonts w:ascii="Verdana" w:hAnsi="Verdana" w:cstheme="minorHAnsi"/>
          <w:szCs w:val="20"/>
          <w:u w:val="single"/>
          <w:lang w:val="fr-CH"/>
        </w:rPr>
        <w:t>Traitement des personnes souffrant de troubles psychiques placées à des fins d’assistance</w:t>
      </w:r>
    </w:p>
    <w:p w:rsidRPr="00BD04F2" w:rsidR="007B291C" w:rsidP="00930620" w:rsidRDefault="007B291C" w14:paraId="5B3674CA"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Existence d’un plan de traitement</w:t>
      </w:r>
    </w:p>
    <w:p w:rsidRPr="00BD04F2" w:rsidR="007B291C" w:rsidP="00930620" w:rsidRDefault="007B291C" w14:paraId="532B4445"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Grave péril</w:t>
      </w:r>
    </w:p>
    <w:p w:rsidRPr="00BD04F2" w:rsidR="007B291C" w:rsidP="00930620" w:rsidRDefault="007B291C" w14:paraId="3DE6F192"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L’incapacité de discernement</w:t>
      </w:r>
    </w:p>
    <w:p w:rsidRPr="00BD04F2" w:rsidR="007B291C" w:rsidP="00930620" w:rsidRDefault="007B291C" w14:paraId="5FCE3418" w14:textId="77777777">
      <w:pPr>
        <w:pStyle w:val="Paragraphedeliste"/>
        <w:numPr>
          <w:ilvl w:val="3"/>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lang w:val="fr-CH"/>
        </w:rPr>
        <w:t>Pas de mesures appropriées moins rigoureuses</w:t>
      </w:r>
    </w:p>
    <w:p w:rsidR="00D4124E" w:rsidRDefault="00D4124E" w14:paraId="269ADEEE" w14:textId="77777777">
      <w:pPr>
        <w:rPr>
          <w:rFonts w:ascii="Verdana" w:hAnsi="Verdana" w:cstheme="minorHAnsi"/>
          <w:szCs w:val="20"/>
          <w:u w:val="single"/>
          <w:lang w:val="fr-CH"/>
        </w:rPr>
      </w:pPr>
      <w:r>
        <w:rPr>
          <w:rFonts w:ascii="Verdana" w:hAnsi="Verdana" w:cstheme="minorHAnsi"/>
          <w:szCs w:val="20"/>
          <w:u w:val="single"/>
          <w:lang w:val="fr-CH"/>
        </w:rPr>
        <w:br w:type="page"/>
      </w:r>
    </w:p>
    <w:p w:rsidRPr="00BD04F2" w:rsidR="001854A2" w:rsidP="00930620" w:rsidRDefault="001854A2" w14:paraId="04B1768E" w14:textId="652DBC3A">
      <w:pPr>
        <w:pStyle w:val="Paragraphedeliste"/>
        <w:numPr>
          <w:ilvl w:val="2"/>
          <w:numId w:val="27"/>
        </w:numPr>
        <w:spacing w:before="120" w:after="120" w:line="276" w:lineRule="auto"/>
        <w:jc w:val="both"/>
        <w:rPr>
          <w:rFonts w:ascii="Verdana" w:hAnsi="Verdana" w:cstheme="minorHAnsi"/>
          <w:szCs w:val="20"/>
          <w:lang w:val="fr-CH"/>
        </w:rPr>
      </w:pPr>
      <w:r w:rsidRPr="00BD04F2">
        <w:rPr>
          <w:rFonts w:ascii="Verdana" w:hAnsi="Verdana" w:cstheme="minorHAnsi"/>
          <w:szCs w:val="20"/>
          <w:u w:val="single"/>
          <w:lang w:val="fr-CH"/>
        </w:rPr>
        <w:t>Le refus de transfusions sanguines par les témoins de Jéhovah</w:t>
      </w:r>
      <w:r w:rsidRPr="00BD04F2">
        <w:rPr>
          <w:rFonts w:ascii="Verdana" w:hAnsi="Verdana" w:cstheme="minorHAnsi"/>
          <w:szCs w:val="20"/>
          <w:lang w:val="fr-CH"/>
        </w:rPr>
        <w:t> : le droit à l’autodétermination du patient entre en collision avec le devoir d’assistance du médecin. Le choix d’une transfusion sanguine est un droit strictement personnel sujet à représentation. Cela signifie que dès qu’un mineur est capable de discernement, il peut exercer seul ce droit. Ainsi, en cas d’incapacité de discernement du mineur, les soignants n’ont pas d’obligation de suivre le refus exprimé par les représentants légaux si ce refus met la santé ou la vie de l’enfant en danger. Ils doivent alors interpeler l’autorité de protection de l’enfant</w:t>
      </w:r>
    </w:p>
    <w:p w:rsidRPr="00BD04F2" w:rsidR="001854A2" w:rsidP="00930620" w:rsidRDefault="001854A2" w14:paraId="271DE667" w14:textId="192EB559">
      <w:pPr>
        <w:pStyle w:val="Paragraphedeliste"/>
        <w:numPr>
          <w:ilvl w:val="2"/>
          <w:numId w:val="27"/>
        </w:numPr>
        <w:spacing w:before="120" w:after="120" w:line="276" w:lineRule="auto"/>
        <w:jc w:val="both"/>
        <w:rPr>
          <w:rFonts w:ascii="Verdana" w:hAnsi="Verdana" w:cstheme="minorHAnsi"/>
          <w:szCs w:val="20"/>
          <w:u w:val="single"/>
          <w:lang w:val="fr-CH"/>
        </w:rPr>
      </w:pPr>
      <w:r w:rsidRPr="00BD04F2">
        <w:rPr>
          <w:rFonts w:ascii="Verdana" w:hAnsi="Verdana" w:cstheme="minorHAnsi"/>
          <w:szCs w:val="20"/>
          <w:u w:val="single"/>
          <w:lang w:val="fr-CH"/>
        </w:rPr>
        <w:t xml:space="preserve">Prélèvement </w:t>
      </w:r>
      <w:r w:rsidRPr="00BD04F2" w:rsidR="002830F6">
        <w:rPr>
          <w:rFonts w:ascii="Verdana" w:hAnsi="Verdana" w:cstheme="minorHAnsi"/>
          <w:szCs w:val="20"/>
          <w:u w:val="single"/>
          <w:lang w:val="fr-CH"/>
        </w:rPr>
        <w:t>d’ADN</w:t>
      </w:r>
      <w:r w:rsidRPr="00BD04F2" w:rsidR="0001789F">
        <w:rPr>
          <w:rFonts w:ascii="Verdana" w:hAnsi="Verdana" w:cstheme="minorHAnsi"/>
          <w:szCs w:val="20"/>
          <w:u w:val="single"/>
          <w:lang w:val="fr-CH"/>
        </w:rPr>
        <w:t xml:space="preserve"> </w:t>
      </w:r>
      <w:r w:rsidRPr="00BD04F2">
        <w:rPr>
          <w:rFonts w:ascii="Verdana" w:hAnsi="Verdana" w:cstheme="minorHAnsi"/>
          <w:szCs w:val="20"/>
          <w:u w:val="single"/>
          <w:lang w:val="fr-CH"/>
        </w:rPr>
        <w:t>en vue de vérifier la filiation</w:t>
      </w:r>
    </w:p>
    <w:p w:rsidRPr="00BD04F2" w:rsidR="001854A2" w:rsidP="00930620" w:rsidRDefault="001854A2" w14:paraId="411CB577" w14:textId="77777777">
      <w:pPr>
        <w:pStyle w:val="Paragraphedeliste"/>
        <w:numPr>
          <w:ilvl w:val="2"/>
          <w:numId w:val="27"/>
        </w:numPr>
        <w:spacing w:before="120" w:after="120" w:line="276" w:lineRule="auto"/>
        <w:jc w:val="both"/>
        <w:rPr>
          <w:rFonts w:ascii="Verdana" w:hAnsi="Verdana" w:cstheme="minorHAnsi"/>
          <w:szCs w:val="20"/>
          <w:u w:val="single"/>
          <w:lang w:val="fr-CH"/>
        </w:rPr>
      </w:pPr>
      <w:r w:rsidRPr="00BD04F2">
        <w:rPr>
          <w:rFonts w:ascii="Verdana" w:hAnsi="Verdana" w:cstheme="minorHAnsi"/>
          <w:szCs w:val="20"/>
          <w:u w:val="single"/>
          <w:lang w:val="fr-CH"/>
        </w:rPr>
        <w:t>Prises de sang et autres examens destinés à établir l’incapacité de conduire</w:t>
      </w:r>
      <w:r w:rsidRPr="00BD04F2" w:rsidR="00E930EB">
        <w:rPr>
          <w:rFonts w:ascii="Verdana" w:hAnsi="Verdana" w:cstheme="minorHAnsi"/>
          <w:szCs w:val="20"/>
          <w:u w:val="single"/>
          <w:lang w:val="fr-CH"/>
        </w:rPr>
        <w:t> </w:t>
      </w:r>
      <w:r w:rsidRPr="00BD04F2" w:rsidR="00E930EB">
        <w:rPr>
          <w:rFonts w:ascii="Verdana" w:hAnsi="Verdana" w:cstheme="minorHAnsi"/>
          <w:szCs w:val="20"/>
          <w:lang w:val="fr-CH"/>
        </w:rPr>
        <w:t>: dans certaines circonstances, par exemple en cas d’accident grave, de mise en danger ou de délit de fuite</w:t>
      </w:r>
      <w:r w:rsidRPr="00BD04F2" w:rsidR="00E5604A">
        <w:rPr>
          <w:rFonts w:ascii="Verdana" w:hAnsi="Verdana" w:cstheme="minorHAnsi"/>
          <w:szCs w:val="20"/>
          <w:lang w:val="fr-CH"/>
        </w:rPr>
        <w:t>.</w:t>
      </w:r>
    </w:p>
    <w:p w:rsidRPr="00BD04F2" w:rsidR="001854A2" w:rsidP="00930620" w:rsidRDefault="001854A2" w14:paraId="056A6AFA" w14:textId="77777777">
      <w:pPr>
        <w:pStyle w:val="Paragraphedeliste"/>
        <w:numPr>
          <w:ilvl w:val="2"/>
          <w:numId w:val="27"/>
        </w:numPr>
        <w:spacing w:before="120" w:after="120" w:line="276" w:lineRule="auto"/>
        <w:jc w:val="both"/>
        <w:rPr>
          <w:rFonts w:ascii="Verdana" w:hAnsi="Verdana" w:cstheme="minorHAnsi"/>
          <w:szCs w:val="20"/>
          <w:u w:val="single"/>
          <w:lang w:val="fr-CH"/>
        </w:rPr>
      </w:pPr>
      <w:r w:rsidRPr="00BD04F2">
        <w:rPr>
          <w:rFonts w:ascii="Verdana" w:hAnsi="Verdana" w:cstheme="minorHAnsi"/>
          <w:szCs w:val="20"/>
          <w:u w:val="single"/>
          <w:lang w:val="fr-CH"/>
        </w:rPr>
        <w:t>Mesures thérapeutiques imposées à une personne condamnée pénalement</w:t>
      </w:r>
      <w:r w:rsidRPr="00BD04F2" w:rsidR="00E5604A">
        <w:rPr>
          <w:rFonts w:ascii="Verdana" w:hAnsi="Verdana" w:cstheme="minorHAnsi"/>
          <w:szCs w:val="20"/>
          <w:u w:val="single"/>
          <w:lang w:val="fr-CH"/>
        </w:rPr>
        <w:t> </w:t>
      </w:r>
      <w:r w:rsidRPr="00BD04F2" w:rsidR="00E5604A">
        <w:rPr>
          <w:rFonts w:ascii="Verdana" w:hAnsi="Verdana" w:cstheme="minorHAnsi"/>
          <w:szCs w:val="20"/>
          <w:lang w:val="fr-CH"/>
        </w:rPr>
        <w:t>: elles peuvent être ordonnées notamment si la peine ne suffit pas à écarter le danger de récidive, si l’auteur a besoin d’un traitement ou si la sécurité publique l’exige. Le principe de proportionnalité doit être respecté.</w:t>
      </w:r>
    </w:p>
    <w:p w:rsidRPr="00BD04F2" w:rsidR="00882BFF" w:rsidP="00930620" w:rsidRDefault="00882BFF" w14:paraId="5E96BD01" w14:textId="77777777">
      <w:pPr>
        <w:spacing w:before="120" w:after="120" w:line="276" w:lineRule="auto"/>
        <w:jc w:val="both"/>
        <w:rPr>
          <w:rFonts w:ascii="Verdana" w:hAnsi="Verdana" w:cstheme="minorHAnsi"/>
          <w:szCs w:val="20"/>
          <w:u w:val="single"/>
          <w:lang w:val="fr-CH"/>
        </w:rPr>
      </w:pPr>
      <w:r w:rsidRPr="00BD04F2">
        <w:rPr>
          <w:rFonts w:ascii="Verdana" w:hAnsi="Verdana" w:cstheme="minorHAnsi"/>
          <w:szCs w:val="20"/>
          <w:u w:val="single"/>
          <w:lang w:val="fr-CH"/>
        </w:rPr>
        <w:br w:type="page"/>
      </w:r>
    </w:p>
    <w:p w:rsidRPr="00BD04F2" w:rsidR="00F75D9D" w:rsidP="002E7C46" w:rsidRDefault="00F75D9D" w14:paraId="57DDB471" w14:textId="77777777">
      <w:pPr>
        <w:pStyle w:val="Titre1"/>
      </w:pPr>
      <w:bookmarkStart w:name="_Toc127619237" w:id="44"/>
      <w:r w:rsidRPr="00BD04F2">
        <w:t>Jurisprudence associée</w:t>
      </w:r>
      <w:bookmarkEnd w:id="44"/>
    </w:p>
    <w:p w:rsidRPr="00BD04F2" w:rsidR="00B472B3" w:rsidP="00930620" w:rsidRDefault="002830F6" w14:paraId="6F602E29" w14:textId="1D7A53C0">
      <w:pPr>
        <w:pStyle w:val="Paragraphedeliste"/>
        <w:numPr>
          <w:ilvl w:val="0"/>
          <w:numId w:val="27"/>
        </w:numPr>
        <w:spacing w:before="120" w:after="120" w:line="276" w:lineRule="auto"/>
        <w:jc w:val="both"/>
        <w:rPr>
          <w:rFonts w:ascii="Verdana" w:hAnsi="Verdana"/>
          <w:szCs w:val="20"/>
          <w:lang w:val="fr-CH"/>
        </w:rPr>
      </w:pPr>
      <w:hyperlink w:history="1" r:id="rId45">
        <w:r w:rsidRPr="001B0414" w:rsidR="00B472B3">
          <w:rPr>
            <w:rStyle w:val="Lienhypertexte"/>
            <w:rFonts w:ascii="Verdana" w:hAnsi="Verdana" w:cstheme="minorHAnsi"/>
            <w:b/>
            <w:szCs w:val="20"/>
            <w:lang w:val="fr-CH"/>
          </w:rPr>
          <w:t>TF 4P 265/2002</w:t>
        </w:r>
        <w:r w:rsidRPr="001B0414" w:rsidR="00B472B3">
          <w:rPr>
            <w:rStyle w:val="Lienhypertexte"/>
            <w:rFonts w:ascii="Verdana" w:hAnsi="Verdana" w:cstheme="minorHAnsi"/>
            <w:szCs w:val="20"/>
            <w:lang w:val="fr-CH"/>
          </w:rPr>
          <w:t> </w:t>
        </w:r>
      </w:hyperlink>
      <w:r w:rsidRPr="00BD04F2" w:rsidR="00B472B3">
        <w:rPr>
          <w:rFonts w:ascii="Verdana" w:hAnsi="Verdana" w:cstheme="minorHAnsi"/>
          <w:szCs w:val="20"/>
          <w:lang w:val="fr-CH"/>
        </w:rPr>
        <w:t xml:space="preserve">: Selon la jurisprudence constante, «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w:t>
      </w:r>
    </w:p>
    <w:p w:rsidRPr="00BD04F2" w:rsidR="00B472B3" w:rsidP="00930620" w:rsidRDefault="00B472B3" w14:paraId="57D7D64D" w14:textId="77777777">
      <w:pPr>
        <w:pStyle w:val="Flietext"/>
        <w:spacing w:before="120" w:after="120" w:line="276" w:lineRule="auto"/>
        <w:ind w:left="360"/>
        <w:jc w:val="both"/>
        <w:rPr>
          <w:rFonts w:ascii="Verdana" w:hAnsi="Verdana" w:cstheme="majorHAnsi"/>
          <w:i/>
          <w:szCs w:val="20"/>
          <w:lang w:val="fr-CH"/>
        </w:rPr>
      </w:pPr>
    </w:p>
    <w:p w:rsidRPr="00BD04F2" w:rsidR="00882BFF" w:rsidP="00930620" w:rsidRDefault="00882BFF" w14:paraId="0E45281C" w14:textId="77777777">
      <w:pPr>
        <w:pStyle w:val="Flietext"/>
        <w:spacing w:before="120" w:after="120" w:line="276" w:lineRule="auto"/>
        <w:ind w:left="360"/>
        <w:jc w:val="both"/>
        <w:rPr>
          <w:rFonts w:ascii="Verdana" w:hAnsi="Verdana" w:cstheme="majorHAnsi"/>
          <w:i/>
          <w:szCs w:val="20"/>
          <w:lang w:val="fr-CH"/>
        </w:rPr>
      </w:pPr>
      <w:r w:rsidRPr="00BD04F2">
        <w:rPr>
          <w:rFonts w:ascii="Verdana" w:hAnsi="Verdana"/>
          <w:noProof/>
          <w:szCs w:val="20"/>
          <w:lang w:val="fr-CH" w:eastAsia="fr-CH"/>
        </w:rPr>
        <w:drawing>
          <wp:inline distT="0" distB="0" distL="0" distR="0" wp14:anchorId="0A221E9D" wp14:editId="59FD1A5E">
            <wp:extent cx="5740695" cy="4800847"/>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40695" cy="4800847"/>
                    </a:xfrm>
                    <a:prstGeom prst="rect">
                      <a:avLst/>
                    </a:prstGeom>
                  </pic:spPr>
                </pic:pic>
              </a:graphicData>
            </a:graphic>
          </wp:inline>
        </w:drawing>
      </w:r>
    </w:p>
    <w:p w:rsidRPr="00BD04F2" w:rsidR="00882BFF" w:rsidP="00930620" w:rsidRDefault="00882BFF" w14:paraId="0E206F60" w14:textId="77777777">
      <w:pPr>
        <w:pStyle w:val="Flietext"/>
        <w:spacing w:before="120" w:after="120" w:line="276" w:lineRule="auto"/>
        <w:jc w:val="both"/>
        <w:rPr>
          <w:rFonts w:ascii="Verdana" w:hAnsi="Verdana" w:cstheme="majorHAnsi"/>
          <w:i/>
          <w:szCs w:val="20"/>
          <w:lang w:val="fr-CH"/>
        </w:rPr>
      </w:pPr>
    </w:p>
    <w:p w:rsidRPr="00BD04F2" w:rsidR="00416DC0" w:rsidP="00930620" w:rsidRDefault="00882BFF" w14:paraId="0D5D6801" w14:textId="33AEADA4">
      <w:pPr>
        <w:pStyle w:val="Flietext"/>
        <w:numPr>
          <w:ilvl w:val="0"/>
          <w:numId w:val="27"/>
        </w:numPr>
        <w:spacing w:before="120" w:after="120" w:line="276" w:lineRule="auto"/>
        <w:jc w:val="both"/>
        <w:rPr>
          <w:rStyle w:val="sfbbfee58"/>
          <w:rFonts w:ascii="Verdana" w:hAnsi="Verdana" w:cstheme="majorHAnsi"/>
          <w:szCs w:val="20"/>
          <w:lang w:val="fr-CH"/>
        </w:rPr>
      </w:pPr>
      <w:r w:rsidRPr="00BD04F2">
        <w:rPr>
          <w:rFonts w:ascii="Verdana" w:hAnsi="Verdana"/>
          <w:b/>
          <w:szCs w:val="20"/>
          <w:lang w:val="fr-CH"/>
        </w:rPr>
        <w:t>Arrêt Glass v. UK en 2004</w:t>
      </w:r>
      <w:r w:rsidRPr="00BD04F2">
        <w:rPr>
          <w:rStyle w:val="sfbbfee58"/>
          <w:rFonts w:ascii="Verdana" w:hAnsi="Verdana" w:cstheme="majorHAnsi"/>
          <w:szCs w:val="20"/>
          <w:lang w:val="fr-CH"/>
        </w:rPr>
        <w:t xml:space="preserve"> : </w:t>
      </w:r>
      <w:r w:rsidRPr="00BD04F2" w:rsidR="00E841B6">
        <w:rPr>
          <w:rStyle w:val="sfbbfee58"/>
          <w:rFonts w:ascii="Verdana" w:hAnsi="Verdana" w:cstheme="majorHAnsi"/>
          <w:szCs w:val="20"/>
          <w:lang w:val="fr-CH"/>
        </w:rPr>
        <w:t xml:space="preserve">La violation du respect de la vie privée a été admise suite à l’administration de substances </w:t>
      </w:r>
      <w:r w:rsidRPr="00BD04F2" w:rsidR="00340701">
        <w:rPr>
          <w:rStyle w:val="sfbbfee58"/>
          <w:rFonts w:ascii="Verdana" w:hAnsi="Verdana" w:cstheme="majorHAnsi"/>
          <w:szCs w:val="20"/>
          <w:lang w:val="fr-CH"/>
        </w:rPr>
        <w:t>psychotropes</w:t>
      </w:r>
      <w:r w:rsidRPr="00BD04F2" w:rsidR="00E841B6">
        <w:rPr>
          <w:rStyle w:val="sfbbfee58"/>
          <w:rFonts w:ascii="Verdana" w:hAnsi="Verdana" w:cstheme="majorHAnsi"/>
          <w:szCs w:val="20"/>
          <w:lang w:val="fr-CH"/>
        </w:rPr>
        <w:t xml:space="preserve"> à un enfant handicapé malgré l’opposition de la mère.</w:t>
      </w:r>
    </w:p>
    <w:p w:rsidRPr="00BD04F2" w:rsidR="00416DC0" w:rsidP="00930620" w:rsidRDefault="00416DC0" w14:paraId="536BB5B2" w14:textId="77777777">
      <w:pPr>
        <w:pStyle w:val="Paragraphedeliste"/>
        <w:spacing w:before="120" w:after="120" w:line="276" w:lineRule="auto"/>
        <w:jc w:val="both"/>
        <w:rPr>
          <w:rStyle w:val="s1a844bc0"/>
          <w:rFonts w:ascii="Verdana" w:hAnsi="Verdana" w:cstheme="majorHAnsi"/>
          <w:szCs w:val="20"/>
          <w:lang w:val="fr-CH"/>
        </w:rPr>
      </w:pPr>
    </w:p>
    <w:p w:rsidRPr="00BD04F2" w:rsidR="00416DC0" w:rsidP="00930620" w:rsidRDefault="00E841B6" w14:paraId="66264481" w14:textId="7C608579">
      <w:pPr>
        <w:pStyle w:val="Flietext"/>
        <w:spacing w:before="120" w:after="120" w:line="276" w:lineRule="auto"/>
        <w:ind w:left="360"/>
        <w:jc w:val="both"/>
        <w:rPr>
          <w:rStyle w:val="sfbbfee58"/>
          <w:rFonts w:ascii="Verdana" w:hAnsi="Verdana" w:cstheme="majorHAnsi"/>
          <w:szCs w:val="20"/>
          <w:lang w:val="fr-CH"/>
        </w:rPr>
      </w:pPr>
      <w:r w:rsidRPr="00BD04F2">
        <w:rPr>
          <w:rStyle w:val="s1a844bc0"/>
          <w:rFonts w:ascii="Verdana" w:hAnsi="Verdana" w:cstheme="majorHAnsi"/>
          <w:szCs w:val="20"/>
          <w:lang w:val="fr-CH"/>
        </w:rPr>
        <w:t xml:space="preserve">En </w:t>
      </w:r>
      <w:r w:rsidRPr="00BD04F2" w:rsidR="00340701">
        <w:rPr>
          <w:rStyle w:val="s1a844bc0"/>
          <w:rFonts w:ascii="Verdana" w:hAnsi="Verdana" w:cstheme="majorHAnsi"/>
          <w:szCs w:val="20"/>
          <w:lang w:val="fr-CH"/>
        </w:rPr>
        <w:t>fait</w:t>
      </w:r>
      <w:r w:rsidRPr="00BD04F2" w:rsidR="00340701">
        <w:rPr>
          <w:rStyle w:val="sfbbfee58"/>
          <w:rFonts w:ascii="Verdana" w:hAnsi="Verdana" w:cstheme="majorHAnsi"/>
          <w:szCs w:val="20"/>
          <w:lang w:val="fr-CH"/>
        </w:rPr>
        <w:t xml:space="preserve"> :</w:t>
      </w:r>
      <w:r w:rsidRPr="00BD04F2">
        <w:rPr>
          <w:rStyle w:val="sfbbfee58"/>
          <w:rFonts w:ascii="Verdana" w:hAnsi="Verdana" w:cstheme="majorHAnsi"/>
          <w:szCs w:val="20"/>
          <w:lang w:val="fr-CH"/>
        </w:rPr>
        <w:t xml:space="preserve"> </w:t>
      </w:r>
      <w:r w:rsidRPr="00BD04F2" w:rsidR="0008315C">
        <w:rPr>
          <w:rStyle w:val="sfbbfee58"/>
          <w:rFonts w:ascii="Verdana" w:hAnsi="Verdana" w:cstheme="majorHAnsi"/>
          <w:szCs w:val="20"/>
          <w:lang w:val="fr-CH"/>
        </w:rPr>
        <w:t>l</w:t>
      </w:r>
      <w:r w:rsidRPr="00BD04F2">
        <w:rPr>
          <w:rStyle w:val="sfbbfee58"/>
          <w:rFonts w:ascii="Verdana" w:hAnsi="Verdana" w:cstheme="majorHAnsi"/>
          <w:szCs w:val="20"/>
          <w:lang w:val="fr-CH"/>
        </w:rPr>
        <w:t xml:space="preserve">e requérant est un enfant gravement handicapé. La requérante est sa mère. En juillet 1998, il fut emmené d’urgence à l’hôpital et opéré pour des problèmes respiratoires. Pensant qu’il était en train de mourir, les médecins résolurent d’arrêter les soins intensifs. Devant l’opposition de la mère, l’hôpital proposa de recueillir l’avis d’un tiers sur l’état de l’enfant, ce que la mère refusa. L’état de l’enfant s’améliora alors et il put rentrer chez lui. Il fut par la suite réhospitalisé à plusieurs reprises pour des infections respiratoires. Là encore, de sérieux désaccords surgirent entre le personnel hospitalier et la mère de l’enfant sur la manière dont celui-ci devrait être traité en cas d’urgence. Par la suite, l’enfant fut à nouveau victime d’une </w:t>
      </w:r>
      <w:r w:rsidRPr="00BD04F2">
        <w:rPr>
          <w:rStyle w:val="sfbbfee58"/>
          <w:rFonts w:ascii="Verdana" w:hAnsi="Verdana" w:cstheme="majorHAnsi"/>
          <w:szCs w:val="20"/>
          <w:lang w:val="fr-CH"/>
        </w:rPr>
        <w:t>crise. Persuadés qu’il était entré en phase terminale, les médecins commencèrent à lui administrer, contre la volonté de sa mère, de la morphine pour soulager ses souffrances. De surcroît, un ordre de « non-réanimation » fut inséré dans son dossier sans que sa mère eût été consultée. Dans l’intervalle, une dispute avait éclaté à l’intérieur de l’hôpital entre les membres de la famille de l’enfant et les médecins. L’enfant survécut à la crise et il put être renvoyé chez lui. Sa mère forma une demande de contrôle judiciaire des décisions prises par l’hôpital relativement au traitement de son fils, mais le juge considéra que, la situation étant révolue, pareilles décisions étaient insusceptibles de contrôle. La mère sollicita alors mais en vain l’autorisation d’interjeter appel. Elle se plaignit par la suite auprès du Conseil médical général et de la police. Chacune de ces deux institutions mena une enquête sur la manière dont les médecins avaient agi, mais aucune procédure judiciaire ne fut intentée à la suite de ces investigations, et les médecins impliqués ne furent inculpés d’aucune infraction</w:t>
      </w:r>
    </w:p>
    <w:p w:rsidRPr="00BD04F2" w:rsidR="00416DC0" w:rsidP="00930620" w:rsidRDefault="00416DC0" w14:paraId="651EF6B5" w14:textId="77777777">
      <w:pPr>
        <w:pStyle w:val="Flietext"/>
        <w:spacing w:before="120" w:after="120" w:line="276" w:lineRule="auto"/>
        <w:ind w:left="360"/>
        <w:jc w:val="both"/>
        <w:rPr>
          <w:rStyle w:val="sfbbfee58"/>
          <w:rFonts w:ascii="Verdana" w:hAnsi="Verdana" w:cstheme="majorHAnsi"/>
          <w:szCs w:val="20"/>
          <w:lang w:val="fr-CH"/>
        </w:rPr>
      </w:pPr>
    </w:p>
    <w:p w:rsidRPr="00BD04F2" w:rsidR="00416DC0" w:rsidP="00930620" w:rsidRDefault="00E841B6" w14:paraId="6FEB6288" w14:textId="77777777">
      <w:pPr>
        <w:pStyle w:val="Flietext"/>
        <w:spacing w:before="120" w:after="120" w:line="276" w:lineRule="auto"/>
        <w:ind w:left="360"/>
        <w:jc w:val="both"/>
        <w:rPr>
          <w:rStyle w:val="sfbbfee58"/>
          <w:rFonts w:ascii="Verdana" w:hAnsi="Verdana" w:cstheme="majorHAnsi"/>
          <w:szCs w:val="20"/>
          <w:lang w:val="fr-CH"/>
        </w:rPr>
      </w:pPr>
      <w:r w:rsidRPr="00BD04F2">
        <w:rPr>
          <w:rStyle w:val="sfbbfee58"/>
          <w:rFonts w:ascii="Verdana" w:hAnsi="Verdana" w:cstheme="majorHAnsi"/>
          <w:szCs w:val="20"/>
          <w:lang w:val="fr-CH"/>
        </w:rPr>
        <w:t>En sa qualité de représentante légale de son enfant, la mère avait qualité pour agir en son nom et défendre ses intérêts. L’imposition à son fils d’un traitement nonobstant son opposition constante s’analyse en une atteinte au droit de l’enfant au respect de sa vie privée. Le fait que les médecins se sont trouvés confrontés à une urgence n’enlève rien à cette constatation. Pour examiner si l’ingérence litigieuse était « prévue par la loi », la Cour ne juge pas nécessaire de se prononcer sur le point de savoir si le cadre juridique interne censé permettre de résoudre les conflits pouvant résulter d’une objection parentale à un traitement médical destiné à un enfant remplissait les critères qualitatifs fixés par la Convention. Elle relève toutefois que le cadre juridique en place était compatible avec les standards fixés en matière de consentement par la Convention du Conseil de l’Europe sur la bioéthique et les droits de l’homme, qu’il ne conférait pas un pouvoir d’appréciation trop important aux médecins et qu’il ne rendait pas imprévisibles les standards précités. Le personnel hospitalier a pris sa décision en fonction de ce qu’il jugeait être l’intérêt de l’enfant. Dans ces conditions, le but poursuivi était légitime. Quant à la nécessité de l’ingérence litigieuse, il n’a pas été expliqué de manière convaincante à la Cour pourquoi l’hôpital n’avait pas sollicité l’intervention des tribunaux aux premiers stades pour débloquer l’impasse à laquelle avait conduit l’opposition de la mère. C’était à l’hôpital de prendre l’initiative et de désamorcer la situation dans l’anticipation d’une crise à venir. Or les médecins utilisèrent le temps limité dont ils disposaient pour tenter d’imposer leurs vues à la mère. Dans ces conditions, la décision des autorités de passer outre, en l’absence d’autorisation par un tribunal, à l’objection de la mère au traitement proposé a violé l’article 8 de la Convention.</w:t>
      </w:r>
    </w:p>
    <w:p w:rsidRPr="00BD04F2" w:rsidR="00416DC0" w:rsidP="00930620" w:rsidRDefault="00416DC0" w14:paraId="342FE103" w14:textId="77777777">
      <w:pPr>
        <w:pStyle w:val="Flietext"/>
        <w:spacing w:before="120" w:after="120" w:line="276" w:lineRule="auto"/>
        <w:ind w:left="360"/>
        <w:jc w:val="both"/>
        <w:rPr>
          <w:rStyle w:val="sfbbfee58"/>
          <w:rFonts w:ascii="Verdana" w:hAnsi="Verdana" w:cstheme="majorHAnsi"/>
          <w:szCs w:val="20"/>
          <w:lang w:val="fr-CH"/>
        </w:rPr>
      </w:pPr>
    </w:p>
    <w:p w:rsidRPr="00BD04F2" w:rsidR="00E841B6" w:rsidP="00930620" w:rsidRDefault="00E841B6" w14:paraId="2BD7EF42" w14:textId="77777777">
      <w:pPr>
        <w:pStyle w:val="Flietext"/>
        <w:spacing w:before="120" w:after="120" w:line="276" w:lineRule="auto"/>
        <w:ind w:left="360"/>
        <w:jc w:val="both"/>
        <w:rPr>
          <w:rStyle w:val="sfbbfee58"/>
          <w:rFonts w:ascii="Verdana" w:hAnsi="Verdana" w:cstheme="majorHAnsi"/>
          <w:szCs w:val="20"/>
          <w:lang w:val="fr-CH"/>
        </w:rPr>
      </w:pPr>
      <w:r w:rsidRPr="00BD04F2">
        <w:rPr>
          <w:rStyle w:val="sfbbfee58"/>
          <w:rFonts w:ascii="Verdana" w:hAnsi="Verdana" w:cstheme="majorHAnsi"/>
          <w:szCs w:val="20"/>
          <w:lang w:val="fr-CH"/>
        </w:rPr>
        <w:t>La Cour alloue aux requérants conjointement 10 000 euros pour dommage moral. Elle leur accorde également une certaine somme pour frais et dépens. »</w:t>
      </w:r>
    </w:p>
    <w:p w:rsidRPr="00BD04F2" w:rsidR="00882BFF" w:rsidP="00930620" w:rsidRDefault="00882BFF" w14:paraId="16026F2D" w14:textId="77777777">
      <w:pPr>
        <w:pStyle w:val="Flietext"/>
        <w:spacing w:before="120" w:after="120" w:line="276" w:lineRule="auto"/>
        <w:jc w:val="both"/>
        <w:rPr>
          <w:rStyle w:val="sfbbfee58"/>
          <w:rFonts w:ascii="Verdana" w:hAnsi="Verdana" w:cstheme="majorHAnsi"/>
          <w:szCs w:val="20"/>
          <w:lang w:val="fr-CH"/>
        </w:rPr>
      </w:pPr>
    </w:p>
    <w:p w:rsidRPr="004312DB" w:rsidR="007F4BD5" w:rsidRDefault="007F4BD5" w14:paraId="0B3719D8" w14:textId="77777777">
      <w:pPr>
        <w:rPr>
          <w:lang w:val="fr-CH"/>
        </w:rPr>
      </w:pPr>
      <w:r w:rsidRPr="004312DB">
        <w:rPr>
          <w:lang w:val="fr-CH"/>
        </w:rPr>
        <w:br w:type="page"/>
      </w:r>
    </w:p>
    <w:p w:rsidRPr="00BD04F2" w:rsidR="00416DC0" w:rsidP="00930620" w:rsidRDefault="002830F6" w14:paraId="766FCDA9" w14:textId="73D9F273">
      <w:pPr>
        <w:pStyle w:val="Flietext"/>
        <w:numPr>
          <w:ilvl w:val="0"/>
          <w:numId w:val="27"/>
        </w:numPr>
        <w:spacing w:before="120" w:after="120" w:line="276" w:lineRule="auto"/>
        <w:jc w:val="both"/>
        <w:rPr>
          <w:rFonts w:ascii="Verdana" w:hAnsi="Verdana"/>
          <w:szCs w:val="20"/>
          <w:lang w:val="fr-CH"/>
        </w:rPr>
      </w:pPr>
      <w:hyperlink w:history="1" r:id="rId47">
        <w:r w:rsidRPr="00BD04F2" w:rsidR="00040255">
          <w:rPr>
            <w:rStyle w:val="Lienhypertexte"/>
            <w:rFonts w:ascii="Verdana" w:hAnsi="Verdana" w:cstheme="majorHAnsi"/>
            <w:b/>
            <w:szCs w:val="20"/>
            <w:lang w:val="fr-CH"/>
          </w:rPr>
          <w:t>ATF 105 II 284</w:t>
        </w:r>
        <w:r w:rsidRPr="00BD04F2" w:rsidR="00040255">
          <w:rPr>
            <w:rStyle w:val="Lienhypertexte"/>
            <w:rFonts w:ascii="Verdana" w:hAnsi="Verdana" w:cstheme="majorHAnsi"/>
            <w:szCs w:val="20"/>
            <w:lang w:val="fr-CH"/>
          </w:rPr>
          <w:t> </w:t>
        </w:r>
      </w:hyperlink>
      <w:r w:rsidRPr="00BD04F2" w:rsidR="00040255">
        <w:rPr>
          <w:rFonts w:ascii="Verdana" w:hAnsi="Verdana" w:cstheme="majorHAnsi"/>
          <w:szCs w:val="20"/>
          <w:lang w:val="fr-CH"/>
        </w:rPr>
        <w:t>: « </w:t>
      </w:r>
      <w:r w:rsidRPr="00BD04F2" w:rsidR="00040255">
        <w:rPr>
          <w:rFonts w:ascii="Verdana" w:hAnsi="Verdana" w:eastAsia="Times New Roman" w:cstheme="majorHAnsi"/>
          <w:szCs w:val="20"/>
          <w:lang w:val="fr-CH" w:eastAsia="de-CH"/>
        </w:rPr>
        <w:t>Le devoir d'informer trouve ses limites dans la définition même de la science médicale, qui a pour objet la conservation et le rétablissement de la santé. Le</w:t>
      </w:r>
      <w:r w:rsidRPr="00BD04F2" w:rsidR="00040255">
        <w:rPr>
          <w:rFonts w:ascii="Verdana" w:hAnsi="Verdana" w:eastAsia="Times New Roman" w:cstheme="majorHAnsi"/>
          <w:b/>
          <w:szCs w:val="20"/>
          <w:lang w:val="fr-CH" w:eastAsia="de-CH"/>
        </w:rPr>
        <w:t xml:space="preserve"> </w:t>
      </w:r>
      <w:r w:rsidRPr="00BD04F2" w:rsidR="00040255">
        <w:rPr>
          <w:rFonts w:ascii="Verdana" w:hAnsi="Verdana" w:eastAsia="Times New Roman" w:cstheme="majorHAnsi"/>
          <w:szCs w:val="20"/>
          <w:lang w:val="fr-CH" w:eastAsia="de-CH"/>
        </w:rPr>
        <w:t xml:space="preserve">médecin est tenu à une information simple, intelligible et loyale concernant le diagnostic, le pronostic et la thérapeutique. Sur ce dernier point, le malade doit être suffisamment renseigné sur la nature du traitement préconisé et ses répercussions possibles pour pouvoir y consentir en connaissance de cause. L'information donnée au malade ne doit cependant pas susciter chez lui un état d'appréhension préjudiciable à sa santé. Un pronostic grave ou fatal - tel celui qui accompagnait autrefois le diagnostic de tuberculose ou qui est aujourd'hui souvent lié à celui de cancer - peut être caché au patient, mais doit en principe être révélé à ses proches. </w:t>
      </w:r>
    </w:p>
    <w:p w:rsidRPr="00BD04F2" w:rsidR="00040255" w:rsidP="00930620" w:rsidRDefault="00040255" w14:paraId="24C7ACA4" w14:textId="77777777">
      <w:pPr>
        <w:pStyle w:val="Flietext"/>
        <w:spacing w:before="120" w:after="120" w:line="276" w:lineRule="auto"/>
        <w:ind w:left="360"/>
        <w:jc w:val="both"/>
        <w:rPr>
          <w:rFonts w:ascii="Verdana" w:hAnsi="Verdana"/>
          <w:b/>
          <w:szCs w:val="20"/>
          <w:lang w:val="fr-CH"/>
        </w:rPr>
      </w:pPr>
      <w:r w:rsidRPr="00BD04F2">
        <w:rPr>
          <w:rFonts w:ascii="Verdana" w:hAnsi="Verdana" w:eastAsia="Times New Roman" w:cstheme="majorHAnsi"/>
          <w:szCs w:val="20"/>
          <w:lang w:val="fr-CH" w:eastAsia="de-CH"/>
        </w:rPr>
        <w:t>Il appartient en définitive au médecin d'apprécier les risques d'une information complète et de limiter cette information, le cas échéant,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(HINDERLING, op.cit., p. 55; LOTZ, op.cit., p. 117 aa; OTT, op.cit., p. 37). »</w:t>
      </w:r>
    </w:p>
    <w:p w:rsidRPr="00BD04F2" w:rsidR="00040255" w:rsidP="00930620" w:rsidRDefault="00040255" w14:paraId="1B36E3A6" w14:textId="77777777">
      <w:pPr>
        <w:pStyle w:val="Flietext"/>
        <w:spacing w:before="120" w:after="120" w:line="276" w:lineRule="auto"/>
        <w:ind w:left="360"/>
        <w:jc w:val="both"/>
        <w:rPr>
          <w:rFonts w:ascii="Verdana" w:hAnsi="Verdana"/>
          <w:b/>
          <w:szCs w:val="20"/>
          <w:lang w:val="fr-CH"/>
        </w:rPr>
      </w:pPr>
    </w:p>
    <w:p w:rsidRPr="00BD04F2" w:rsidR="00B472B3" w:rsidP="00930620" w:rsidRDefault="00040255" w14:paraId="23C82981" w14:textId="087E51B5">
      <w:pPr>
        <w:pStyle w:val="Flietext"/>
        <w:numPr>
          <w:ilvl w:val="0"/>
          <w:numId w:val="27"/>
        </w:numPr>
        <w:spacing w:before="120" w:after="120" w:line="276" w:lineRule="auto"/>
        <w:jc w:val="both"/>
        <w:rPr>
          <w:rFonts w:ascii="Verdana" w:hAnsi="Verdana"/>
          <w:szCs w:val="20"/>
          <w:lang w:val="fr-CH"/>
        </w:rPr>
      </w:pPr>
      <w:r w:rsidRPr="00BD04F2">
        <w:rPr>
          <w:rFonts w:ascii="Verdana" w:hAnsi="Verdana" w:eastAsia="Times New Roman" w:cstheme="majorHAnsi"/>
          <w:b/>
          <w:szCs w:val="20"/>
          <w:lang w:val="fr-CH" w:eastAsia="de-CH"/>
        </w:rPr>
        <w:t>ATF 108 II 59</w:t>
      </w:r>
      <w:r w:rsidRPr="00BD04F2">
        <w:rPr>
          <w:rFonts w:ascii="Verdana" w:hAnsi="Verdana" w:eastAsia="Times New Roman" w:cstheme="majorHAnsi"/>
          <w:szCs w:val="20"/>
          <w:lang w:val="fr-CH" w:eastAsia="de-CH"/>
        </w:rPr>
        <w:t> : « </w:t>
      </w:r>
      <w:r w:rsidRPr="00BD04F2" w:rsidR="0001789F">
        <w:rPr>
          <w:rFonts w:ascii="Verdana" w:hAnsi="Verdana" w:eastAsia="Times New Roman" w:cstheme="majorHAnsi"/>
          <w:szCs w:val="20"/>
          <w:lang w:val="fr-CH" w:eastAsia="de-CH"/>
        </w:rPr>
        <w:t xml:space="preserve">l'exigence </w:t>
      </w:r>
      <w:r w:rsidRPr="00BD04F2">
        <w:rPr>
          <w:rFonts w:ascii="Verdana" w:hAnsi="Verdana" w:eastAsia="Times New Roman" w:cstheme="majorHAnsi"/>
          <w:szCs w:val="20"/>
          <w:lang w:val="fr-CH" w:eastAsia="de-CH"/>
        </w:rPr>
        <w:t xml:space="preserve">d'un consentement éclairé se déduit directement du droit du patient à la liberté personnelle et à l'intégrité </w:t>
      </w:r>
      <w:r w:rsidRPr="00BD04F2" w:rsidR="00DF057B">
        <w:rPr>
          <w:rFonts w:ascii="Verdana" w:hAnsi="Verdana" w:eastAsia="Times New Roman" w:cstheme="majorHAnsi"/>
          <w:szCs w:val="20"/>
          <w:lang w:val="fr-CH" w:eastAsia="de-CH"/>
        </w:rPr>
        <w:t>corporelle ;</w:t>
      </w:r>
      <w:r w:rsidRPr="00BD04F2">
        <w:rPr>
          <w:rFonts w:ascii="Verdana" w:hAnsi="Verdana" w:eastAsia="Times New Roman" w:cstheme="majorHAnsi"/>
          <w:szCs w:val="20"/>
          <w:lang w:val="fr-CH" w:eastAsia="de-CH"/>
        </w:rPr>
        <w:t xml:space="preserve"> elle est liée à l'existence d'un risque inhérent à tout acte médical, risque qui ne peut être assumé que par celui qui y est exposé. Le médecin donc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correctement exécutés du point de vue médical.</w:t>
      </w:r>
    </w:p>
    <w:p w:rsidRPr="00BD04F2" w:rsidR="00B472B3" w:rsidP="00930620" w:rsidRDefault="00040255" w14:paraId="2DD84314" w14:textId="3EE25D35">
      <w:pPr>
        <w:pStyle w:val="Flietext"/>
        <w:spacing w:before="120" w:after="120" w:line="276" w:lineRule="auto"/>
        <w:ind w:left="360"/>
        <w:jc w:val="both"/>
        <w:rPr>
          <w:rFonts w:ascii="Verdana" w:hAnsi="Verdana" w:eastAsia="Times New Roman" w:cstheme="majorHAnsi"/>
          <w:szCs w:val="20"/>
          <w:lang w:val="fr-CH" w:eastAsia="de-CH"/>
        </w:rPr>
      </w:pPr>
      <w:r w:rsidRPr="00BD04F2">
        <w:rPr>
          <w:rFonts w:ascii="Verdana" w:hAnsi="Verdana" w:eastAsia="Times New Roman" w:cstheme="majorHAnsi"/>
          <w:szCs w:val="20"/>
          <w:lang w:val="fr-CH" w:eastAsia="de-CH"/>
        </w:rPr>
        <w:t xml:space="preserve">Le médecin doit donc réparation pour tout dommage découlant de l'échec total ou partiel de l'opération, </w:t>
      </w:r>
      <w:r w:rsidRPr="00BD04F2" w:rsidR="0008315C">
        <w:rPr>
          <w:rFonts w:ascii="Verdana" w:hAnsi="Verdana" w:eastAsia="Times New Roman" w:cstheme="majorHAnsi"/>
          <w:szCs w:val="20"/>
          <w:lang w:val="fr-CH" w:eastAsia="de-CH"/>
        </w:rPr>
        <w:t>a</w:t>
      </w:r>
      <w:r w:rsidRPr="00BD04F2">
        <w:rPr>
          <w:rFonts w:ascii="Verdana" w:hAnsi="Verdana" w:eastAsia="Times New Roman" w:cstheme="majorHAnsi"/>
          <w:szCs w:val="20"/>
          <w:lang w:val="fr-CH" w:eastAsia="de-CH"/>
        </w:rPr>
        <w:t xml:space="preserve">lors même qu'il n'aurait violé aucune des règles de l'art (HINDERLING, Die ärztliche Aufklärungspflicht, p. 74; LOEFFLER, Die Haftung des Arztes aus ärztlicher Behandlung, p. 16 et 96 s.; SAVATIER, La responsabilité civile, 2e éd., no 782; SAVATIER/AUBY/SAVATIER/PÉQUIGNOT, Traité de droit médical, p. 229 et 259; LAUFS, Arztrecht, 2e éd., no 69; STAUDINGER, Kommentar zum BGB, 10/11e éd., no 398 ad par. 823). Le risque de l'acte médical, normalement supporté par le patient, passe au praticien qui intervient sans obtenir le consentement éclairé qu'il aurait pu et dû solliciter (KORNPROBST, Responsabilités du médecin, p. 438; NEY, La responsabilité des médecins, thèse Lausanne 1979, p. 106 s.). Le fait auquel l'ordre juridique attache le devoir de réparation est l'acte accompli en violation d'une obligation contractuelle ou d'une norme générale de comportement. Or l'opération faite sans le consentement éclairé du patient est contraire au droit et l'est tout entière. L'existence d'un lien de causalité, condition de toute responsabilité, doit donc s'apprécier entre l'intervention chirurgicale, considérée dans son ensemble, et le préjudice subi par le patient. Ce lien existe, de manière naturelle et adéquate, lorsque l'opération aboutit à un échec, c'est-à-dire à une atteinte à la vie, la santé ou l'intégrité corporelle, et qu'elle apparaît normalement propre, selon le cours ordinaire des choses, à provoquer un résultat du genre de celui qui s'est produit. L'opération faite par le défendeur peut dès lors être considérée comme la cause naturelle et adéquate de la mutilation irrémédiable subie par la demanderesse. La cour cantonale a nié qu'un lien de causalité fût établi entre l'attitude du défendeur et le préjudice de la demanderesse, faute pour celle-là d'avoir prouvé qu'elle n'eût pas consenti à l'opération si elle en avait connu la nature exacte et les risques. Cette exigence supplémentaire en matière de preuve repose sur une conception </w:t>
      </w:r>
      <w:r w:rsidRPr="00BD04F2">
        <w:rPr>
          <w:rFonts w:ascii="Verdana" w:hAnsi="Verdana" w:eastAsia="Times New Roman" w:cstheme="majorHAnsi"/>
          <w:szCs w:val="20"/>
          <w:lang w:val="fr-CH" w:eastAsia="de-CH"/>
        </w:rPr>
        <w:t xml:space="preserve">erronée du fait générateur de l'obligation de réparer. Ce fait, l'acte contraire au droit, est l'opération faite sans consentement éclairé, considérée comme un tout indivisible. Le patient peut donc se contenter de démontrer qu'il n'aurait vraisemblablement pas été lésé dans son intégrité corporelle si son médecin s'était abstenu de l'intervention considérée, que l'opération lui a dès lors fait perdre une chance de conserver la santé. Il n'a pas à prouver l'attitude qu'il aurait adoptée par hypothèse dans des circonstances qui ne se sont pas produites. Celui qui agit pour violation des règles de l'art se voit certes imposer une preuve plus stricte, puisqu'il doit démontrer que l'erreur même de diagnostic ou de traitement, et non pas seulement l'acte médical dans son ensemble, est la condition "sine qua non" de son préjudice. Ces exigences différentes tiennent au fondement même de la responsabilité dans l'un et l'autre cas. Car si l'absence de consentement entraîne l'illicéité de toute l'opération, la violation des règles de l'art ne rend contraire au droit que le geste diagnostique ou thérapeutique erroné. On peut se demander si l'on doit, à l'instar de la jurisprudence allemande, permettre au médecin d'échapper à une condamnation en établissant que son patient aurait de toute manière consentie au traitement, s'il en avait connu la nature et les risques (arrêts du Tribunal fédéral allemand du 22 janvier 1980, Neue Juristische Wochenschrift 1980 p. 1334, du 5 juillet 1973, BGHZ 61 p. 123, et du 16 janvier 1959, BGHZ 29 p. 187). Dans son arrêt du 20 février 1940 en la cause E. </w:t>
      </w:r>
      <w:r w:rsidRPr="00BD04F2" w:rsidR="0001789F">
        <w:rPr>
          <w:rFonts w:ascii="Verdana" w:hAnsi="Verdana" w:eastAsia="Times New Roman" w:cstheme="majorHAnsi"/>
          <w:szCs w:val="20"/>
          <w:lang w:val="fr-CH" w:eastAsia="de-CH"/>
        </w:rPr>
        <w:t>C</w:t>
      </w:r>
      <w:r w:rsidRPr="00BD04F2">
        <w:rPr>
          <w:rFonts w:ascii="Verdana" w:hAnsi="Verdana" w:eastAsia="Times New Roman" w:cstheme="majorHAnsi"/>
          <w:szCs w:val="20"/>
          <w:lang w:val="fr-CH" w:eastAsia="de-CH"/>
        </w:rPr>
        <w:t>. X., la Cour de céans n'a pas eu à trancher la question, car elle avait nié l'existence d'un devoir d'information (ATF 66 II 34 ss). Elle peut s'en dispenser également en l'espèce.</w:t>
      </w:r>
    </w:p>
    <w:p w:rsidRPr="00BD04F2" w:rsidR="00040255" w:rsidP="00930620" w:rsidRDefault="00040255" w14:paraId="6D948144" w14:textId="69C52725">
      <w:pPr>
        <w:pStyle w:val="Flietext"/>
        <w:spacing w:before="120" w:after="120" w:line="276" w:lineRule="auto"/>
        <w:ind w:left="360"/>
        <w:jc w:val="both"/>
        <w:rPr>
          <w:rFonts w:ascii="Verdana" w:hAnsi="Verdana"/>
          <w:szCs w:val="20"/>
          <w:lang w:val="fr-CH"/>
        </w:rPr>
      </w:pPr>
      <w:r w:rsidRPr="00BD04F2">
        <w:rPr>
          <w:rFonts w:ascii="Verdana" w:hAnsi="Verdana" w:eastAsia="Times New Roman" w:cstheme="majorHAnsi"/>
          <w:szCs w:val="20"/>
          <w:lang w:val="fr-CH" w:eastAsia="de-CH"/>
        </w:rPr>
        <w:t xml:space="preserve">La faculté qui pourrait être reconnue au médecin de s'exonérer en invoquant le consentement hypothétique de son patient, à titre de motif justificatif ou de fait interruptif de la causalité, constituerait un moyen de défense. Le fardeau de la preuve incomberait donc à celui qui l'exerce (cf. </w:t>
      </w:r>
      <w:r w:rsidRPr="00BD04F2" w:rsidR="0001789F">
        <w:rPr>
          <w:rFonts w:ascii="Verdana" w:hAnsi="Verdana" w:eastAsia="Times New Roman" w:cstheme="majorHAnsi"/>
          <w:szCs w:val="20"/>
          <w:lang w:val="fr-CH" w:eastAsia="de-CH"/>
        </w:rPr>
        <w:t xml:space="preserve">Arrêts </w:t>
      </w:r>
      <w:r w:rsidRPr="00BD04F2">
        <w:rPr>
          <w:rFonts w:ascii="Verdana" w:hAnsi="Verdana" w:eastAsia="Times New Roman" w:cstheme="majorHAnsi"/>
          <w:szCs w:val="20"/>
          <w:lang w:val="fr-CH" w:eastAsia="de-CH"/>
        </w:rPr>
        <w:t>précités du Tribunal fédéral allemand). Le médecin devrait dès lors alléguer et prouver l'existence de circonstances permettant d'affirmer que son patient aurait donné son accord au traitement considéré, exécuté par le même praticien et dans les mêmes conditions, s'il avait été dûment informé et consulté. Or le défendeur n'a rien établi de tel en l'espèce. »</w:t>
      </w:r>
    </w:p>
    <w:p w:rsidRPr="00BD04F2" w:rsidR="00996642" w:rsidP="00930620" w:rsidRDefault="00B472B3" w14:paraId="4C42551B" w14:textId="77777777">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cstheme="majorHAnsi"/>
          <w:b/>
          <w:szCs w:val="20"/>
          <w:lang w:val="fr-CH"/>
        </w:rPr>
        <w:t xml:space="preserve">Autre jurisprudence : </w:t>
      </w:r>
      <w:r w:rsidRPr="00BD04F2" w:rsidR="00BB4297">
        <w:rPr>
          <w:rFonts w:ascii="Verdana" w:hAnsi="Verdana" w:cstheme="majorHAnsi"/>
          <w:szCs w:val="20"/>
          <w:lang w:val="fr-CH"/>
        </w:rPr>
        <w:t>l</w:t>
      </w:r>
      <w:r w:rsidRPr="00BD04F2" w:rsidR="00996642">
        <w:rPr>
          <w:rFonts w:ascii="Verdana" w:hAnsi="Verdana" w:cstheme="majorHAnsi"/>
          <w:szCs w:val="20"/>
          <w:lang w:val="fr-CH"/>
        </w:rPr>
        <w:t>’étendue de l’information est fonction du risque de voir tel ou tel effet indésiré se produire. Ainsi, il y a obligation d’informer pour :</w:t>
      </w:r>
    </w:p>
    <w:p w:rsidRPr="00BD04F2" w:rsidR="00996642" w:rsidP="00930620" w:rsidRDefault="0001789F" w14:paraId="34453530" w14:textId="1C62E6B7">
      <w:pPr>
        <w:pStyle w:val="Paragraphedeliste"/>
        <w:numPr>
          <w:ilvl w:val="1"/>
          <w:numId w:val="27"/>
        </w:numPr>
        <w:spacing w:before="120" w:after="120" w:line="276" w:lineRule="auto"/>
        <w:jc w:val="both"/>
        <w:rPr>
          <w:rFonts w:ascii="Verdana" w:hAnsi="Verdana"/>
          <w:szCs w:val="20"/>
          <w:lang w:val="fr-CH"/>
        </w:rPr>
      </w:pPr>
      <w:r w:rsidRPr="00BD04F2">
        <w:rPr>
          <w:rFonts w:ascii="Verdana" w:hAnsi="Verdana" w:cstheme="majorHAnsi"/>
          <w:szCs w:val="20"/>
          <w:lang w:val="fr-CH"/>
        </w:rPr>
        <w:t>U</w:t>
      </w:r>
      <w:r w:rsidRPr="00BD04F2" w:rsidR="00996642">
        <w:rPr>
          <w:rFonts w:ascii="Verdana" w:hAnsi="Verdana" w:cstheme="majorHAnsi"/>
          <w:szCs w:val="20"/>
          <w:lang w:val="fr-CH"/>
        </w:rPr>
        <w:t>n risque d’interactions médicamenteuses : automédication en plus d’une trithérapie ayant entraîné la nécessité d’amputation d’un pied (</w:t>
      </w:r>
      <w:hyperlink w:history="1" r:id="rId48">
        <w:r w:rsidRPr="009F5716" w:rsidR="00996642">
          <w:rPr>
            <w:rStyle w:val="Lienhypertexte"/>
            <w:rFonts w:ascii="Verdana" w:hAnsi="Verdana" w:cstheme="majorHAnsi"/>
            <w:szCs w:val="20"/>
            <w:lang w:val="fr-CH"/>
          </w:rPr>
          <w:t>ATF 4C.229/2000</w:t>
        </w:r>
      </w:hyperlink>
      <w:r w:rsidRPr="00BD04F2" w:rsidR="00996642">
        <w:rPr>
          <w:rFonts w:ascii="Verdana" w:hAnsi="Verdana" w:cstheme="majorHAnsi"/>
          <w:szCs w:val="20"/>
          <w:lang w:val="fr-CH"/>
        </w:rPr>
        <w:t>)</w:t>
      </w:r>
    </w:p>
    <w:p w:rsidRPr="00BD04F2" w:rsidR="00996642" w:rsidP="00930620" w:rsidRDefault="0001789F" w14:paraId="5E163D24" w14:textId="3CA03AE6">
      <w:pPr>
        <w:pStyle w:val="Paragraphedeliste"/>
        <w:numPr>
          <w:ilvl w:val="1"/>
          <w:numId w:val="27"/>
        </w:numPr>
        <w:spacing w:before="120" w:after="120" w:line="276" w:lineRule="auto"/>
        <w:jc w:val="both"/>
        <w:rPr>
          <w:rFonts w:ascii="Verdana" w:hAnsi="Verdana"/>
          <w:szCs w:val="20"/>
          <w:lang w:val="fr-CH"/>
        </w:rPr>
      </w:pPr>
      <w:r w:rsidRPr="00BD04F2">
        <w:rPr>
          <w:rFonts w:ascii="Verdana" w:hAnsi="Verdana" w:cstheme="majorHAnsi"/>
          <w:szCs w:val="20"/>
          <w:lang w:val="fr-CH"/>
        </w:rPr>
        <w:t>L</w:t>
      </w:r>
      <w:r w:rsidRPr="00BD04F2" w:rsidR="00996642">
        <w:rPr>
          <w:rFonts w:ascii="Verdana" w:hAnsi="Verdana" w:cstheme="majorHAnsi"/>
          <w:szCs w:val="20"/>
          <w:lang w:val="fr-CH"/>
        </w:rPr>
        <w:t xml:space="preserve">es effets indésirables suite à une opération des yeux (7% des patients insatisfaits en raison des effets secondaires, </w:t>
      </w:r>
      <w:hyperlink w:history="1" r:id="rId49">
        <w:r w:rsidRPr="00C9551F" w:rsidR="00996642">
          <w:rPr>
            <w:rStyle w:val="Lienhypertexte"/>
            <w:rFonts w:ascii="Verdana" w:hAnsi="Verdana" w:cstheme="majorHAnsi"/>
            <w:szCs w:val="20"/>
            <w:lang w:val="fr-CH"/>
          </w:rPr>
          <w:t>ATF 1P.71/2007</w:t>
        </w:r>
      </w:hyperlink>
      <w:r w:rsidRPr="00BD04F2" w:rsidR="00996642">
        <w:rPr>
          <w:rFonts w:ascii="Verdana" w:hAnsi="Verdana" w:cstheme="majorHAnsi"/>
          <w:szCs w:val="20"/>
          <w:lang w:val="fr-CH"/>
        </w:rPr>
        <w:t>)</w:t>
      </w:r>
    </w:p>
    <w:p w:rsidRPr="00BD04F2" w:rsidR="00996642" w:rsidP="00930620" w:rsidRDefault="0001789F" w14:paraId="16346B97" w14:textId="2D651BB3">
      <w:pPr>
        <w:pStyle w:val="Paragraphedeliste"/>
        <w:numPr>
          <w:ilvl w:val="1"/>
          <w:numId w:val="27"/>
        </w:numPr>
        <w:spacing w:before="120" w:after="120" w:line="276" w:lineRule="auto"/>
        <w:jc w:val="both"/>
        <w:rPr>
          <w:rFonts w:ascii="Verdana" w:hAnsi="Verdana"/>
          <w:szCs w:val="20"/>
          <w:lang w:val="fr-CH"/>
        </w:rPr>
      </w:pPr>
      <w:r w:rsidRPr="00BD04F2">
        <w:rPr>
          <w:rFonts w:ascii="Verdana" w:hAnsi="Verdana" w:cstheme="majorHAnsi"/>
          <w:szCs w:val="20"/>
          <w:lang w:val="fr-CH"/>
        </w:rPr>
        <w:t>L</w:t>
      </w:r>
      <w:r w:rsidRPr="00BD04F2" w:rsidR="00996642">
        <w:rPr>
          <w:rFonts w:ascii="Verdana" w:hAnsi="Verdana" w:cstheme="majorHAnsi"/>
          <w:szCs w:val="20"/>
          <w:lang w:val="fr-CH"/>
        </w:rPr>
        <w:t>es risques de complications de 20 à 30% et risque de décès inférieur à 5% pour une opération au cerveau (</w:t>
      </w:r>
      <w:hyperlink w:history="1" r:id="rId50">
        <w:r w:rsidRPr="00831C60" w:rsidR="00996642">
          <w:rPr>
            <w:rStyle w:val="Lienhypertexte"/>
            <w:rFonts w:ascii="Verdana" w:hAnsi="Verdana" w:cstheme="majorHAnsi"/>
            <w:szCs w:val="20"/>
            <w:lang w:val="fr-CH"/>
          </w:rPr>
          <w:t>ATF 4P.265/2002</w:t>
        </w:r>
      </w:hyperlink>
      <w:r w:rsidRPr="00BD04F2" w:rsidR="00996642">
        <w:rPr>
          <w:rFonts w:ascii="Verdana" w:hAnsi="Verdana" w:cstheme="majorHAnsi"/>
          <w:szCs w:val="20"/>
          <w:lang w:val="fr-CH"/>
        </w:rPr>
        <w:t>)</w:t>
      </w:r>
    </w:p>
    <w:p w:rsidRPr="00BD04F2" w:rsidR="00996642" w:rsidP="00930620" w:rsidRDefault="0001789F" w14:paraId="74104DB4" w14:textId="05A723CF">
      <w:pPr>
        <w:pStyle w:val="Paragraphedeliste"/>
        <w:numPr>
          <w:ilvl w:val="1"/>
          <w:numId w:val="27"/>
        </w:numPr>
        <w:spacing w:before="120" w:after="120" w:line="276" w:lineRule="auto"/>
        <w:jc w:val="both"/>
        <w:rPr>
          <w:rFonts w:ascii="Verdana" w:hAnsi="Verdana"/>
          <w:szCs w:val="20"/>
          <w:lang w:val="fr-CH"/>
        </w:rPr>
      </w:pPr>
      <w:r w:rsidRPr="00BD04F2">
        <w:rPr>
          <w:rFonts w:ascii="Verdana" w:hAnsi="Verdana" w:cstheme="majorHAnsi"/>
          <w:szCs w:val="20"/>
          <w:lang w:val="fr-CH"/>
        </w:rPr>
        <w:t>L</w:t>
      </w:r>
      <w:r w:rsidRPr="00BD04F2" w:rsidR="00996642">
        <w:rPr>
          <w:rFonts w:ascii="Verdana" w:hAnsi="Verdana" w:cstheme="majorHAnsi"/>
          <w:szCs w:val="20"/>
          <w:lang w:val="fr-CH"/>
        </w:rPr>
        <w:t xml:space="preserve">e risque de paraplégie de 35% suite à </w:t>
      </w:r>
      <w:r w:rsidR="00F73FAD">
        <w:rPr>
          <w:rFonts w:ascii="Verdana" w:hAnsi="Verdana" w:cstheme="majorHAnsi"/>
          <w:szCs w:val="20"/>
          <w:lang w:val="fr-CH"/>
        </w:rPr>
        <w:t xml:space="preserve">une </w:t>
      </w:r>
      <w:r w:rsidRPr="00BD04F2" w:rsidR="00996642">
        <w:rPr>
          <w:rFonts w:ascii="Verdana" w:hAnsi="Verdana" w:cstheme="majorHAnsi"/>
          <w:szCs w:val="20"/>
          <w:lang w:val="fr-CH"/>
        </w:rPr>
        <w:t xml:space="preserve">laminectomie pour </w:t>
      </w:r>
      <w:r w:rsidR="002830F6">
        <w:rPr>
          <w:rFonts w:ascii="Verdana" w:hAnsi="Verdana" w:cstheme="majorHAnsi"/>
          <w:szCs w:val="20"/>
          <w:lang w:val="fr-CH"/>
        </w:rPr>
        <w:t xml:space="preserve">traitement </w:t>
      </w:r>
      <w:r w:rsidRPr="00BD04F2" w:rsidR="00996642">
        <w:rPr>
          <w:rFonts w:ascii="Verdana" w:hAnsi="Verdana" w:cstheme="majorHAnsi"/>
          <w:szCs w:val="20"/>
          <w:lang w:val="fr-CH"/>
        </w:rPr>
        <w:t>d’une hernie discale (</w:t>
      </w:r>
      <w:hyperlink w:history="1" r:id="rId51">
        <w:r w:rsidRPr="008652EB" w:rsidR="00996642">
          <w:rPr>
            <w:rStyle w:val="Lienhypertexte"/>
            <w:rFonts w:ascii="Verdana" w:hAnsi="Verdana" w:cstheme="majorHAnsi"/>
            <w:szCs w:val="20"/>
            <w:lang w:val="fr-CH"/>
          </w:rPr>
          <w:t>ATF 117 Ib 197</w:t>
        </w:r>
      </w:hyperlink>
      <w:r w:rsidRPr="00BD04F2" w:rsidR="00996642">
        <w:rPr>
          <w:rFonts w:ascii="Verdana" w:hAnsi="Verdana" w:cstheme="majorHAnsi"/>
          <w:szCs w:val="20"/>
          <w:lang w:val="fr-CH"/>
        </w:rPr>
        <w:t>).</w:t>
      </w:r>
    </w:p>
    <w:p w:rsidRPr="00BD04F2" w:rsidR="00996642" w:rsidP="00930620" w:rsidRDefault="00996642" w14:paraId="02AF3548" w14:textId="77777777">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cstheme="majorHAnsi"/>
          <w:szCs w:val="20"/>
          <w:lang w:val="fr-CH"/>
        </w:rPr>
        <w:t>En revanche, il n’y a pas d’obligation d’informer pour</w:t>
      </w:r>
    </w:p>
    <w:p w:rsidRPr="00BD04F2" w:rsidR="00996642" w:rsidP="00930620" w:rsidRDefault="0001789F" w14:paraId="169BAB61" w14:textId="76F91E60">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cstheme="majorHAnsi"/>
          <w:szCs w:val="20"/>
          <w:lang w:val="fr-CH"/>
        </w:rPr>
        <w:t>U</w:t>
      </w:r>
      <w:r w:rsidRPr="00BD04F2" w:rsidR="00996642">
        <w:rPr>
          <w:rFonts w:ascii="Verdana" w:hAnsi="Verdana" w:cstheme="majorHAnsi"/>
          <w:szCs w:val="20"/>
          <w:lang w:val="fr-CH"/>
        </w:rPr>
        <w:t xml:space="preserve">n risque spécifique inférieur à 1% (0,5%) de lésion du nerf crural lors de la pose d’une prothèse de hanche (ATF </w:t>
      </w:r>
      <w:hyperlink w:history="1" r:id="rId52">
        <w:r w:rsidRPr="00D5211A" w:rsidR="00996642">
          <w:rPr>
            <w:rStyle w:val="Lienhypertexte"/>
            <w:rFonts w:ascii="Verdana" w:hAnsi="Verdana" w:cstheme="majorHAnsi"/>
            <w:szCs w:val="20"/>
            <w:lang w:val="fr-CH"/>
          </w:rPr>
          <w:t>133 III 121</w:t>
        </w:r>
      </w:hyperlink>
      <w:r w:rsidRPr="00BD04F2" w:rsidR="00996642">
        <w:rPr>
          <w:rFonts w:ascii="Verdana" w:hAnsi="Verdana" w:cstheme="majorHAnsi"/>
          <w:szCs w:val="20"/>
          <w:lang w:val="fr-CH"/>
        </w:rPr>
        <w:t>)</w:t>
      </w:r>
    </w:p>
    <w:p w:rsidRPr="00BD04F2" w:rsidR="00996642" w:rsidP="00930620" w:rsidRDefault="0001789F" w14:paraId="6D0A5FC3" w14:textId="15CD0E43">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cstheme="majorHAnsi"/>
          <w:szCs w:val="20"/>
          <w:lang w:val="fr-CH"/>
        </w:rPr>
        <w:t>L</w:t>
      </w:r>
      <w:r w:rsidRPr="00BD04F2" w:rsidR="00996642">
        <w:rPr>
          <w:rFonts w:ascii="Verdana" w:hAnsi="Verdana" w:cstheme="majorHAnsi"/>
          <w:szCs w:val="20"/>
          <w:lang w:val="fr-CH"/>
        </w:rPr>
        <w:t>e risque de 0,3% de lésion de la voie biliaire lors de l’ablation de la vésicule par laparoscopie (</w:t>
      </w:r>
      <w:hyperlink w:history="1" r:id="rId53">
        <w:r w:rsidRPr="006E63E3" w:rsidR="00996642">
          <w:rPr>
            <w:rStyle w:val="Lienhypertexte"/>
            <w:rFonts w:ascii="Verdana" w:hAnsi="Verdana" w:cstheme="majorHAnsi"/>
            <w:szCs w:val="20"/>
            <w:lang w:val="fr-CH"/>
          </w:rPr>
          <w:t>TF 4A.323/2007</w:t>
        </w:r>
      </w:hyperlink>
      <w:r w:rsidRPr="00BD04F2" w:rsidR="00996642">
        <w:rPr>
          <w:rFonts w:ascii="Verdana" w:hAnsi="Verdana" w:cstheme="majorHAnsi"/>
          <w:szCs w:val="20"/>
          <w:lang w:val="fr-CH"/>
        </w:rPr>
        <w:t>)</w:t>
      </w:r>
    </w:p>
    <w:p w:rsidRPr="00BD04F2" w:rsidR="00F75D9D" w:rsidP="00930620" w:rsidRDefault="0001789F" w14:paraId="42089D2C" w14:textId="11EE079D">
      <w:pPr>
        <w:pStyle w:val="Paragraphedeliste"/>
        <w:numPr>
          <w:ilvl w:val="1"/>
          <w:numId w:val="33"/>
        </w:numPr>
        <w:spacing w:before="120" w:after="120" w:line="276" w:lineRule="auto"/>
        <w:jc w:val="both"/>
        <w:rPr>
          <w:rFonts w:ascii="Verdana" w:hAnsi="Verdana"/>
          <w:szCs w:val="20"/>
          <w:lang w:val="fr-CH"/>
        </w:rPr>
      </w:pPr>
      <w:r w:rsidRPr="00BD04F2">
        <w:rPr>
          <w:rFonts w:ascii="Verdana" w:hAnsi="Verdana" w:cstheme="majorHAnsi"/>
          <w:szCs w:val="20"/>
          <w:lang w:val="fr-CH"/>
        </w:rPr>
        <w:t>U</w:t>
      </w:r>
      <w:r w:rsidRPr="00BD04F2" w:rsidR="00996642">
        <w:rPr>
          <w:rFonts w:ascii="Verdana" w:hAnsi="Verdana" w:cstheme="majorHAnsi"/>
          <w:szCs w:val="20"/>
          <w:lang w:val="fr-CH"/>
        </w:rPr>
        <w:t xml:space="preserve">n risque atypique et exceptionnel par exemple le risque de syncope après la pose d’un appareil orthodontique (ATF </w:t>
      </w:r>
      <w:hyperlink w:history="1" r:id="rId54">
        <w:r w:rsidRPr="001649A4" w:rsidR="00996642">
          <w:rPr>
            <w:rStyle w:val="Lienhypertexte"/>
            <w:rFonts w:ascii="Verdana" w:hAnsi="Verdana" w:cstheme="majorHAnsi"/>
            <w:szCs w:val="20"/>
            <w:lang w:val="fr-CH"/>
          </w:rPr>
          <w:t>4P.169/2003</w:t>
        </w:r>
      </w:hyperlink>
      <w:r w:rsidRPr="00BD04F2" w:rsidR="00996642">
        <w:rPr>
          <w:rFonts w:ascii="Verdana" w:hAnsi="Verdana" w:cstheme="majorHAnsi"/>
          <w:szCs w:val="20"/>
          <w:lang w:val="fr-CH"/>
        </w:rPr>
        <w:t>)</w:t>
      </w:r>
    </w:p>
    <w:p w:rsidRPr="00BD04F2" w:rsidR="004405E4" w:rsidP="00930620" w:rsidRDefault="004405E4" w14:paraId="5F827906" w14:textId="77777777">
      <w:pPr>
        <w:spacing w:before="120" w:after="120" w:line="276" w:lineRule="auto"/>
        <w:jc w:val="both"/>
        <w:rPr>
          <w:rFonts w:ascii="Verdana" w:hAnsi="Verdana"/>
          <w:szCs w:val="20"/>
          <w:lang w:val="fr-CH"/>
        </w:rPr>
      </w:pPr>
    </w:p>
    <w:p w:rsidRPr="00BD04F2" w:rsidR="004405E4" w:rsidP="00930620" w:rsidRDefault="004405E4" w14:paraId="2B69C56E" w14:textId="5D77F492">
      <w:pPr>
        <w:pStyle w:val="Paragraphedeliste"/>
        <w:numPr>
          <w:ilvl w:val="0"/>
          <w:numId w:val="27"/>
        </w:numPr>
        <w:spacing w:before="120" w:after="120" w:line="276" w:lineRule="auto"/>
        <w:jc w:val="both"/>
        <w:rPr>
          <w:rFonts w:ascii="Verdana" w:hAnsi="Verdana"/>
          <w:szCs w:val="20"/>
          <w:lang w:val="fr-CH"/>
        </w:rPr>
      </w:pPr>
      <w:r w:rsidRPr="00BD04F2">
        <w:rPr>
          <w:rFonts w:ascii="Verdana" w:hAnsi="Verdana"/>
          <w:szCs w:val="20"/>
          <w:lang w:val="fr-CH"/>
        </w:rPr>
        <w:t xml:space="preserve">Quid de la possibilité d’étendre le champ opératoire en cours d’intervention sans le consentement du patient ? </w:t>
      </w:r>
      <w:r w:rsidRPr="00BD04F2" w:rsidR="0001789F">
        <w:rPr>
          <w:rFonts w:ascii="Verdana" w:hAnsi="Verdana"/>
          <w:szCs w:val="20"/>
          <w:lang w:val="fr-CH"/>
        </w:rPr>
        <w:t xml:space="preserve">Le </w:t>
      </w:r>
      <w:r w:rsidRPr="00BD04F2">
        <w:rPr>
          <w:rFonts w:ascii="Verdana" w:hAnsi="Verdana"/>
          <w:szCs w:val="20"/>
          <w:lang w:val="fr-CH"/>
        </w:rPr>
        <w:t xml:space="preserve">TF s’est penché sur la question à l’art </w:t>
      </w:r>
      <w:hyperlink w:history="1" r:id="rId55">
        <w:r w:rsidRPr="000A68A1">
          <w:rPr>
            <w:rStyle w:val="Lienhypertexte"/>
            <w:rFonts w:ascii="Verdana" w:hAnsi="Verdana"/>
            <w:szCs w:val="20"/>
            <w:lang w:val="fr-CH"/>
          </w:rPr>
          <w:t>4C.66/2007</w:t>
        </w:r>
      </w:hyperlink>
      <w:r w:rsidRPr="00BD04F2">
        <w:rPr>
          <w:rFonts w:ascii="Verdana" w:hAnsi="Verdana"/>
          <w:szCs w:val="20"/>
          <w:lang w:val="fr-CH"/>
        </w:rPr>
        <w:t>. « </w:t>
      </w:r>
      <w:r w:rsidRPr="00BD04F2">
        <w:rPr>
          <w:rFonts w:ascii="Verdana" w:hAnsi="Verdana" w:cs="Arial"/>
          <w:szCs w:val="20"/>
          <w:lang w:val="fr-CH"/>
        </w:rPr>
        <w:t xml:space="preserve">Entré en urgence à la clinique, le patient souffrait. Selon les constatations des expertises judiciaires reprises dans le jugement attaqué, une intervention rapide de décompression s'imposait, car un risque de perforation du côlon </w:t>
      </w:r>
      <w:r w:rsidRPr="00BD04F2" w:rsidR="00DF057B">
        <w:rPr>
          <w:rFonts w:ascii="Verdana" w:hAnsi="Verdana" w:cs="Arial"/>
          <w:szCs w:val="20"/>
          <w:lang w:val="fr-CH"/>
        </w:rPr>
        <w:t>existait ;</w:t>
      </w:r>
      <w:r w:rsidRPr="00BD04F2">
        <w:rPr>
          <w:rFonts w:ascii="Verdana" w:hAnsi="Verdana" w:cs="Arial"/>
          <w:szCs w:val="20"/>
          <w:lang w:val="fr-CH"/>
        </w:rPr>
        <w:t xml:space="preserve"> l'option chirurgicale était nécessaire, l'alternative médicamenteuse pouvant conduire à de graves complications. Dans ces conditions, force est de reconnaître que, même informé du déroulement exact de l'opération, le demandeur, pris comme une personne sensée, ne se serait pas opposé à l'intervention aujourd'hui litigieuse. C'est dès lors à bon droit que la Cour civile a admis le moyen tiré du consentement hypothétique du patient. » (cons. 5.1)</w:t>
      </w:r>
    </w:p>
    <w:p w:rsidRPr="00BD04F2" w:rsidR="00F75D9D" w:rsidP="00930620" w:rsidRDefault="00F75D9D" w14:paraId="13C7D62B" w14:textId="1586E183">
      <w:pPr>
        <w:spacing w:before="120" w:after="120" w:line="276" w:lineRule="auto"/>
        <w:jc w:val="both"/>
        <w:rPr>
          <w:rFonts w:ascii="Verdana" w:hAnsi="Verdana" w:cstheme="minorHAnsi"/>
          <w:szCs w:val="20"/>
          <w:lang w:val="fr-CH"/>
        </w:rPr>
      </w:pPr>
    </w:p>
    <w:p w:rsidRPr="00BD04F2" w:rsidR="00BD04F2" w:rsidRDefault="00BD04F2" w14:paraId="3C84F99A" w14:textId="77777777">
      <w:pPr>
        <w:spacing w:before="120" w:after="120" w:line="276" w:lineRule="auto"/>
        <w:jc w:val="both"/>
        <w:rPr>
          <w:rFonts w:ascii="Verdana" w:hAnsi="Verdana" w:cstheme="minorHAnsi"/>
          <w:szCs w:val="20"/>
          <w:lang w:val="fr-CH"/>
        </w:rPr>
      </w:pPr>
    </w:p>
    <w:sectPr w:rsidRPr="00BD04F2" w:rsidR="00BD04F2" w:rsidSect="00C36922">
      <w:headerReference w:type="even" r:id="rId56"/>
      <w:headerReference w:type="default" r:id="rId57"/>
      <w:footerReference w:type="even" r:id="rId58"/>
      <w:footerReference w:type="default" r:id="rId59"/>
      <w:headerReference w:type="first" r:id="rId60"/>
      <w:footerReference w:type="first" r:id="rId61"/>
      <w:type w:val="continuous"/>
      <w:pgSz w:w="11906" w:h="16838" w:orient="portrait" w:code="9"/>
      <w:pgMar w:top="1276" w:right="1133" w:bottom="1418" w:left="993" w:header="709" w:footer="8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B69" w:rsidP="00FA4F34" w:rsidRDefault="00C25B69" w14:paraId="77A45333" w14:textId="77777777">
      <w:pPr>
        <w:spacing w:line="240" w:lineRule="auto"/>
      </w:pPr>
      <w:r>
        <w:separator/>
      </w:r>
    </w:p>
  </w:endnote>
  <w:endnote w:type="continuationSeparator" w:id="0">
    <w:p w:rsidR="00C25B69" w:rsidP="00FA4F34" w:rsidRDefault="00C25B69" w14:paraId="2E6F6C2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CAC" w:rsidRDefault="000C2CAC" w14:paraId="653B6C6C" w14:textId="777777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cs="Arial"/>
        <w:sz w:val="20"/>
        <w:szCs w:val="20"/>
      </w:rPr>
      <w:id w:val="1257407690"/>
      <w:docPartObj>
        <w:docPartGallery w:val="Page Numbers (Bottom of Page)"/>
        <w:docPartUnique/>
      </w:docPartObj>
    </w:sdtPr>
    <w:sdtEndPr>
      <w:rPr>
        <w:rFonts w:ascii="Verdana" w:hAnsi="Verdana" w:cs="Arial"/>
        <w:sz w:val="20"/>
        <w:szCs w:val="20"/>
      </w:rPr>
    </w:sdtEndPr>
    <w:sdtContent>
      <w:sdt>
        <w:sdtPr>
          <w:rPr>
            <w:rFonts w:ascii="Verdana" w:hAnsi="Verdana" w:cs="Arial"/>
            <w:sz w:val="20"/>
            <w:szCs w:val="20"/>
          </w:rPr>
          <w:id w:val="-1705238520"/>
          <w:docPartObj>
            <w:docPartGallery w:val="Page Numbers (Top of Page)"/>
            <w:docPartUnique/>
          </w:docPartObj>
        </w:sdtPr>
        <w:sdtEndPr>
          <w:rPr>
            <w:rFonts w:ascii="Verdana" w:hAnsi="Verdana" w:cs="Arial"/>
            <w:sz w:val="20"/>
            <w:szCs w:val="20"/>
          </w:rPr>
        </w:sdtEndPr>
        <w:sdtContent>
          <w:p w:rsidRPr="00432F6E" w:rsidR="002072E1" w:rsidP="002072E1" w:rsidRDefault="002072E1" w14:paraId="51702237" w14:textId="77777777">
            <w:pPr>
              <w:pStyle w:val="Pieddepage"/>
              <w:pBdr>
                <w:top w:val="single" w:color="4C204A" w:themeColor="accent1" w:themeShade="BF" w:sz="4" w:space="6"/>
              </w:pBdr>
              <w:jc w:val="right"/>
              <w:rPr>
                <w:rFonts w:ascii="Verdana" w:hAnsi="Verdana" w:cs="Arial"/>
                <w:sz w:val="20"/>
                <w:szCs w:val="20"/>
              </w:rPr>
            </w:pPr>
            <w:r w:rsidRPr="00432F6E">
              <w:rPr>
                <w:rFonts w:ascii="Verdana" w:hAnsi="Verdana" w:cs="Arial"/>
                <w:sz w:val="20"/>
                <w:szCs w:val="20"/>
                <w:lang w:val="fr-FR"/>
              </w:rPr>
              <w:t xml:space="preserve">Page </w:t>
            </w:r>
            <w:r w:rsidRPr="00432F6E">
              <w:rPr>
                <w:rFonts w:ascii="Verdana" w:hAnsi="Verdana" w:cs="Arial"/>
                <w:b/>
                <w:bCs/>
                <w:sz w:val="20"/>
                <w:szCs w:val="20"/>
              </w:rPr>
              <w:fldChar w:fldCharType="begin"/>
            </w:r>
            <w:r w:rsidRPr="00432F6E">
              <w:rPr>
                <w:rFonts w:ascii="Verdana" w:hAnsi="Verdana" w:cs="Arial"/>
                <w:b/>
                <w:bCs/>
                <w:sz w:val="20"/>
                <w:szCs w:val="20"/>
              </w:rPr>
              <w:instrText>PAGE</w:instrText>
            </w:r>
            <w:r w:rsidRPr="00432F6E">
              <w:rPr>
                <w:rFonts w:ascii="Verdana" w:hAnsi="Verdana" w:cs="Arial"/>
                <w:b/>
                <w:bCs/>
                <w:sz w:val="20"/>
                <w:szCs w:val="20"/>
              </w:rPr>
              <w:fldChar w:fldCharType="separate"/>
            </w:r>
            <w:r w:rsidR="002830F6">
              <w:rPr>
                <w:rFonts w:ascii="Verdana" w:hAnsi="Verdana" w:cs="Arial"/>
                <w:b/>
                <w:bCs/>
                <w:noProof/>
                <w:sz w:val="20"/>
                <w:szCs w:val="20"/>
              </w:rPr>
              <w:t>2</w:t>
            </w:r>
            <w:r w:rsidRPr="00432F6E">
              <w:rPr>
                <w:rFonts w:ascii="Verdana" w:hAnsi="Verdana" w:cs="Arial"/>
                <w:b/>
                <w:bCs/>
                <w:sz w:val="20"/>
                <w:szCs w:val="20"/>
              </w:rPr>
              <w:fldChar w:fldCharType="end"/>
            </w:r>
            <w:r w:rsidRPr="00432F6E">
              <w:rPr>
                <w:rFonts w:ascii="Verdana" w:hAnsi="Verdana" w:cs="Arial"/>
                <w:sz w:val="20"/>
                <w:szCs w:val="20"/>
                <w:lang w:val="fr-FR"/>
              </w:rPr>
              <w:t xml:space="preserve"> sur </w:t>
            </w:r>
            <w:r w:rsidRPr="00432F6E">
              <w:rPr>
                <w:rFonts w:ascii="Verdana" w:hAnsi="Verdana" w:cs="Arial"/>
                <w:b/>
                <w:bCs/>
                <w:sz w:val="20"/>
                <w:szCs w:val="20"/>
              </w:rPr>
              <w:fldChar w:fldCharType="begin"/>
            </w:r>
            <w:r w:rsidRPr="00432F6E">
              <w:rPr>
                <w:rFonts w:ascii="Verdana" w:hAnsi="Verdana" w:cs="Arial"/>
                <w:b/>
                <w:bCs/>
                <w:sz w:val="20"/>
                <w:szCs w:val="20"/>
              </w:rPr>
              <w:instrText>NUMPAGES</w:instrText>
            </w:r>
            <w:r w:rsidRPr="00432F6E">
              <w:rPr>
                <w:rFonts w:ascii="Verdana" w:hAnsi="Verdana" w:cs="Arial"/>
                <w:b/>
                <w:bCs/>
                <w:sz w:val="20"/>
                <w:szCs w:val="20"/>
              </w:rPr>
              <w:fldChar w:fldCharType="separate"/>
            </w:r>
            <w:r w:rsidR="002830F6">
              <w:rPr>
                <w:rFonts w:ascii="Verdana" w:hAnsi="Verdana" w:cs="Arial"/>
                <w:b/>
                <w:bCs/>
                <w:noProof/>
                <w:sz w:val="20"/>
                <w:szCs w:val="20"/>
              </w:rPr>
              <w:t>21</w:t>
            </w:r>
            <w:r w:rsidRPr="00432F6E">
              <w:rPr>
                <w:rFonts w:ascii="Verdana" w:hAnsi="Verdana" w:cs="Arial"/>
                <w:b/>
                <w:bCs/>
                <w:sz w:val="20"/>
                <w:szCs w:val="20"/>
              </w:rPr>
              <w:fldChar w:fldCharType="end"/>
            </w:r>
          </w:p>
        </w:sdtContent>
      </w:sdt>
    </w:sdtContent>
  </w:sdt>
  <w:p w:rsidRPr="002072E1" w:rsidR="00161F08" w:rsidP="002072E1" w:rsidRDefault="00161F08" w14:paraId="6D0C5303" w14:textId="77BAB9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F08" w:rsidP="00891AB0" w:rsidRDefault="00161F08" w14:paraId="17187D98" w14:textId="77777777">
    <w:pPr>
      <w:pStyle w:val="Pieddepage"/>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footnote w:type="separator" w:id="-1">
    <w:p w:rsidR="00C25B69" w:rsidP="00FA4F34" w:rsidRDefault="00C25B69" w14:paraId="0B66BFBF" w14:textId="77777777">
      <w:pPr>
        <w:spacing w:line="240" w:lineRule="auto"/>
      </w:pPr>
      <w:r>
        <w:separator/>
      </w:r>
    </w:p>
  </w:footnote>
  <w:footnote w:type="continuationSeparator" w:id="0">
    <w:p w:rsidR="00C25B69" w:rsidP="00FA4F34" w:rsidRDefault="00C25B69" w14:paraId="6A4B199F" w14:textId="77777777">
      <w:pPr>
        <w:spacing w:line="240" w:lineRule="auto"/>
      </w:pPr>
      <w:r>
        <w:continuationSeparator/>
      </w:r>
    </w:p>
  </w:footnote>
  <w:footnote w:id="1">
    <w:p w:rsidRPr="00882BFF" w:rsidR="00161F08" w:rsidRDefault="00161F08" w14:paraId="18C205CA" w14:textId="77777777">
      <w:pPr>
        <w:pStyle w:val="Notedebasdepage"/>
        <w:rPr>
          <w:lang w:val="fr-CH"/>
        </w:rPr>
      </w:pPr>
      <w:r>
        <w:rPr>
          <w:rStyle w:val="Appelnotedebasdep"/>
        </w:rPr>
        <w:footnoteRef/>
      </w:r>
      <w:r w:rsidRPr="00882BFF">
        <w:rPr>
          <w:lang w:val="fr-CH"/>
        </w:rPr>
        <w:t xml:space="preserve"> </w:t>
      </w:r>
      <w:r>
        <w:rPr>
          <w:lang w:val="fr-CH"/>
        </w:rPr>
        <w:t>Cf. sous jurisprudence</w:t>
      </w:r>
    </w:p>
  </w:footnote>
  <w:footnote w:id="2">
    <w:p w:rsidRPr="00B3650A" w:rsidR="00161F08" w:rsidP="00B3650A" w:rsidRDefault="00161F08" w14:paraId="6664D65F" w14:textId="77777777">
      <w:pPr>
        <w:autoSpaceDE w:val="0"/>
        <w:autoSpaceDN w:val="0"/>
        <w:adjustRightInd w:val="0"/>
        <w:spacing w:line="240" w:lineRule="auto"/>
        <w:rPr>
          <w:rFonts w:ascii="TimesNewRoman" w:hAnsi="TimesNewRoman" w:cs="TimesNewRoman"/>
          <w:sz w:val="18"/>
          <w:szCs w:val="18"/>
          <w:lang w:val="fr-CH"/>
        </w:rPr>
      </w:pPr>
      <w:r>
        <w:rPr>
          <w:rStyle w:val="Appelnotedebasdep"/>
        </w:rPr>
        <w:footnoteRef/>
      </w:r>
      <w:r w:rsidRPr="00B3650A">
        <w:rPr>
          <w:lang w:val="fr-CH"/>
        </w:rPr>
        <w:t xml:space="preserve"> </w:t>
      </w:r>
      <w:r w:rsidRPr="00B3650A">
        <w:rPr>
          <w:rFonts w:ascii="TimesNewRoman" w:hAnsi="TimesNewRoman" w:cs="TimesNewRoman"/>
          <w:sz w:val="18"/>
          <w:szCs w:val="18"/>
          <w:lang w:val="fr-CH"/>
        </w:rPr>
        <w:t>Le mandat est un contrat par lequel le mandataire s’oblige, dans les</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termes de la convention, à gérer l’affaire dont il s’est chargé ou à rendre</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les services qu’il a promis.</w:t>
      </w:r>
    </w:p>
  </w:footnote>
  <w:footnote w:id="3">
    <w:p w:rsidRPr="00B3650A" w:rsidR="00161F08" w:rsidRDefault="00161F08" w14:paraId="4580D8FF" w14:textId="77777777">
      <w:pPr>
        <w:pStyle w:val="Notedebasdepage"/>
        <w:rPr>
          <w:lang w:val="fr-CH"/>
        </w:rPr>
      </w:pPr>
      <w:r>
        <w:rPr>
          <w:rStyle w:val="Appelnotedebasdep"/>
        </w:rPr>
        <w:footnoteRef/>
      </w:r>
      <w:r w:rsidRPr="00B3650A">
        <w:rPr>
          <w:lang w:val="fr-CH"/>
        </w:rPr>
        <w:t xml:space="preserve"> </w:t>
      </w:r>
      <w:r w:rsidRPr="00B3650A">
        <w:rPr>
          <w:rFonts w:ascii="TimesNewRoman" w:hAnsi="TimesNewRoman" w:cs="TimesNewRoman"/>
          <w:sz w:val="18"/>
          <w:szCs w:val="18"/>
          <w:lang w:val="fr-CH"/>
        </w:rPr>
        <w:t>Le contrat d’entreprise est un contrat par lequel une des parties</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(l’entrepreneur) s’oblige à exécuter un ouvrage, moyennant un prix</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que l’autre partie (le maître) s’engage à lui payer</w:t>
      </w:r>
      <w:r>
        <w:rPr>
          <w:rFonts w:ascii="TimesNewRoman" w:hAnsi="TimesNewRoman" w:cs="TimesNewRoman"/>
          <w:sz w:val="18"/>
          <w:szCs w:val="18"/>
          <w:lang w:val="fr-CH"/>
        </w:rPr>
        <w:t>.</w:t>
      </w:r>
    </w:p>
  </w:footnote>
  <w:footnote w:id="4">
    <w:p w:rsidRPr="00B3650A" w:rsidR="00161F08" w:rsidP="00B3650A" w:rsidRDefault="00161F08" w14:paraId="7B118A58" w14:textId="77777777">
      <w:pPr>
        <w:autoSpaceDE w:val="0"/>
        <w:autoSpaceDN w:val="0"/>
        <w:adjustRightInd w:val="0"/>
        <w:spacing w:line="240" w:lineRule="auto"/>
        <w:rPr>
          <w:lang w:val="fr-CH"/>
        </w:rPr>
      </w:pPr>
      <w:r>
        <w:rPr>
          <w:rStyle w:val="Appelnotedebasdep"/>
        </w:rPr>
        <w:footnoteRef/>
      </w:r>
      <w:r w:rsidRPr="00B3650A">
        <w:rPr>
          <w:lang w:val="fr-CH"/>
        </w:rPr>
        <w:t xml:space="preserve"> </w:t>
      </w:r>
      <w:r w:rsidRPr="00B3650A">
        <w:rPr>
          <w:rFonts w:ascii="TimesNewRoman" w:hAnsi="TimesNewRoman" w:cs="TimesNewRoman"/>
          <w:sz w:val="18"/>
          <w:szCs w:val="18"/>
          <w:lang w:val="fr-CH"/>
        </w:rPr>
        <w:t>Tout être humain a droit à la vie. La peine de mort est interdite.</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Tout être humain a droit à la liberté personnelle, notamment à l’intégrité physique</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et psychique et à la liberté de mouvement.</w:t>
      </w:r>
      <w:r>
        <w:rPr>
          <w:rFonts w:ascii="TimesNewRoman" w:hAnsi="TimesNewRoman" w:cs="TimesNewRoman"/>
          <w:sz w:val="18"/>
          <w:szCs w:val="18"/>
          <w:lang w:val="fr-CH"/>
        </w:rPr>
        <w:t xml:space="preserve"> </w:t>
      </w:r>
      <w:r w:rsidRPr="00B3650A">
        <w:rPr>
          <w:rFonts w:ascii="TimesNewRoman" w:hAnsi="TimesNewRoman" w:cs="TimesNewRoman"/>
          <w:sz w:val="13"/>
          <w:szCs w:val="13"/>
          <w:lang w:val="fr-CH"/>
        </w:rPr>
        <w:t xml:space="preserve">3 </w:t>
      </w:r>
      <w:r w:rsidRPr="00B3650A">
        <w:rPr>
          <w:rFonts w:ascii="TimesNewRoman" w:hAnsi="TimesNewRoman" w:cs="TimesNewRoman"/>
          <w:sz w:val="18"/>
          <w:szCs w:val="18"/>
          <w:lang w:val="fr-CH"/>
        </w:rPr>
        <w:t>La torture et tout autre traitement ou peine cruels, inhumains ou dégradants sont</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interdits.</w:t>
      </w:r>
    </w:p>
  </w:footnote>
  <w:footnote w:id="5">
    <w:p w:rsidRPr="00B3650A" w:rsidR="00161F08" w:rsidP="00B3650A" w:rsidRDefault="00161F08" w14:paraId="6AF55EC2" w14:textId="77777777">
      <w:pPr>
        <w:autoSpaceDE w:val="0"/>
        <w:autoSpaceDN w:val="0"/>
        <w:adjustRightInd w:val="0"/>
        <w:spacing w:line="240" w:lineRule="auto"/>
        <w:rPr>
          <w:lang w:val="fr-CH"/>
        </w:rPr>
      </w:pPr>
      <w:r>
        <w:rPr>
          <w:rStyle w:val="Appelnotedebasdep"/>
        </w:rPr>
        <w:footnoteRef/>
      </w:r>
      <w:r w:rsidRPr="00B3650A">
        <w:rPr>
          <w:lang w:val="fr-CH"/>
        </w:rPr>
        <w:t xml:space="preserve"> </w:t>
      </w:r>
      <w:r w:rsidRPr="00B3650A">
        <w:rPr>
          <w:rFonts w:ascii="TimesNewRoman" w:hAnsi="TimesNewRoman" w:cs="TimesNewRoman"/>
          <w:sz w:val="18"/>
          <w:szCs w:val="18"/>
          <w:lang w:val="fr-CH"/>
        </w:rPr>
        <w:t>Celui qui subit une atteinte illicite à sa personnalité peut agir en justice</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pour sa protection contre toute personne qui y participe.</w:t>
      </w:r>
      <w:r>
        <w:rPr>
          <w:rFonts w:ascii="TimesNewRoman" w:hAnsi="TimesNewRoman" w:cs="TimesNewRoman"/>
          <w:sz w:val="18"/>
          <w:szCs w:val="18"/>
          <w:lang w:val="fr-CH"/>
        </w:rPr>
        <w:t xml:space="preserve"> </w:t>
      </w:r>
      <w:r w:rsidRPr="00B3650A">
        <w:rPr>
          <w:rFonts w:ascii="TimesNewRoman" w:hAnsi="TimesNewRoman" w:cs="TimesNewRoman"/>
          <w:sz w:val="13"/>
          <w:szCs w:val="13"/>
          <w:lang w:val="fr-CH"/>
        </w:rPr>
        <w:t xml:space="preserve">2 </w:t>
      </w:r>
      <w:r w:rsidRPr="00B3650A">
        <w:rPr>
          <w:rFonts w:ascii="TimesNewRoman" w:hAnsi="TimesNewRoman" w:cs="TimesNewRoman"/>
          <w:sz w:val="18"/>
          <w:szCs w:val="18"/>
          <w:lang w:val="fr-CH"/>
        </w:rPr>
        <w:t>Une atteinte est illicite, à moins qu’elle ne soit justifiée par le consentement</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de la victime, par un intérêt prépondérant privé ou public,</w:t>
      </w:r>
      <w:r>
        <w:rPr>
          <w:rFonts w:ascii="TimesNewRoman" w:hAnsi="TimesNewRoman" w:cs="TimesNewRoman"/>
          <w:sz w:val="18"/>
          <w:szCs w:val="18"/>
          <w:lang w:val="fr-CH"/>
        </w:rPr>
        <w:t xml:space="preserve"> </w:t>
      </w:r>
      <w:r w:rsidRPr="00B3650A">
        <w:rPr>
          <w:rFonts w:ascii="TimesNewRoman" w:hAnsi="TimesNewRoman" w:cs="TimesNewRoman"/>
          <w:sz w:val="18"/>
          <w:szCs w:val="18"/>
          <w:lang w:val="fr-CH"/>
        </w:rPr>
        <w:t>ou par la loi.</w:t>
      </w:r>
    </w:p>
  </w:footnote>
  <w:footnote w:id="6">
    <w:p w:rsidRPr="00747052" w:rsidR="00161F08" w:rsidRDefault="00161F08" w14:paraId="62411E01" w14:textId="77777777">
      <w:pPr>
        <w:pStyle w:val="Notedebasdepage"/>
        <w:rPr>
          <w:lang w:val="fr-CH"/>
        </w:rPr>
      </w:pPr>
      <w:r>
        <w:rPr>
          <w:rStyle w:val="Appelnotedebasdep"/>
        </w:rPr>
        <w:footnoteRef/>
      </w:r>
      <w:r>
        <w:t xml:space="preserve"> </w:t>
      </w:r>
      <w:r>
        <w:rPr>
          <w:noProof/>
          <w:lang w:val="fr-CH"/>
        </w:rPr>
        <w:t>Cf. sous jurisprudence</w:t>
      </w:r>
    </w:p>
  </w:footnote>
  <w:footnote w:id="7">
    <w:p w:rsidR="00161F08" w:rsidRDefault="00161F08" w14:paraId="7728EAFF" w14:textId="77777777">
      <w:pPr>
        <w:pStyle w:val="Notedebasdepage"/>
      </w:pPr>
      <w:r>
        <w:rPr>
          <w:rStyle w:val="Appelnotedebasdep"/>
        </w:rPr>
        <w:footnoteRef/>
      </w:r>
      <w:r>
        <w:t xml:space="preserve"> </w:t>
      </w:r>
    </w:p>
    <w:p w:rsidR="00161F08" w:rsidRDefault="00161F08" w14:paraId="77CC2248" w14:textId="77777777">
      <w:pPr>
        <w:pStyle w:val="Notedebasdepage"/>
      </w:pPr>
      <w:r w:rsidRPr="00321744">
        <w:rPr>
          <w:noProof/>
          <w:lang w:val="fr-CH" w:eastAsia="fr-CH"/>
        </w:rPr>
        <w:drawing>
          <wp:inline distT="0" distB="0" distL="0" distR="0" wp14:anchorId="24DB1A08" wp14:editId="04825E3B">
            <wp:extent cx="3661255" cy="170508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6668" cy="1726236"/>
                    </a:xfrm>
                    <a:prstGeom prst="rect">
                      <a:avLst/>
                    </a:prstGeom>
                  </pic:spPr>
                </pic:pic>
              </a:graphicData>
            </a:graphic>
          </wp:inline>
        </w:drawing>
      </w:r>
    </w:p>
    <w:p w:rsidRPr="00040255" w:rsidR="00161F08" w:rsidRDefault="00161F08" w14:paraId="6D4C28DA" w14:textId="77777777">
      <w:pPr>
        <w:pStyle w:val="Notedebasdepage"/>
        <w:rPr>
          <w:lang w:val="fr-CH"/>
        </w:rPr>
      </w:pPr>
      <w:r w:rsidRPr="00321744">
        <w:rPr>
          <w:noProof/>
          <w:lang w:val="fr-CH" w:eastAsia="fr-CH"/>
        </w:rPr>
        <w:drawing>
          <wp:inline distT="0" distB="0" distL="0" distR="0" wp14:anchorId="114697E4" wp14:editId="5C3DCD75">
            <wp:extent cx="3697007" cy="1534645"/>
            <wp:effectExtent l="0" t="0" r="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718519" cy="1543575"/>
                    </a:xfrm>
                    <a:prstGeom prst="rect">
                      <a:avLst/>
                    </a:prstGeom>
                  </pic:spPr>
                </pic:pic>
              </a:graphicData>
            </a:graphic>
          </wp:inline>
        </w:drawing>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CAC" w:rsidRDefault="000C2CAC" w14:paraId="235D2D2A" w14:textId="777777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1C2A64" w:rsidR="00183660" w:rsidP="00183660" w:rsidRDefault="00183660" w14:paraId="2F2CF9BF" w14:textId="77777777">
    <w:pPr>
      <w:pStyle w:val="En-tte"/>
      <w:jc w:val="right"/>
      <w:rPr>
        <w:rFonts w:ascii="Verdana" w:hAnsi="Verdana" w:cs="Arial"/>
        <w:b/>
        <w:bCs/>
        <w:color w:val="0070C0"/>
        <w:sz w:val="22"/>
        <w:lang w:val="fr-CH"/>
      </w:rPr>
    </w:pPr>
    <w:r w:rsidRPr="001C2A64">
      <w:rPr>
        <w:rFonts w:ascii="Verdana" w:hAnsi="Verdana" w:cs="Arial"/>
        <w:b/>
        <w:bCs/>
        <w:color w:val="0070C0"/>
        <w:sz w:val="22"/>
        <w:lang w:val="fr-CH"/>
      </w:rPr>
      <w:tab/>
    </w:r>
    <w:r w:rsidRPr="001C2A64">
      <w:rPr>
        <w:rFonts w:ascii="Verdana" w:hAnsi="Verdana" w:cs="Arial"/>
        <w:b/>
        <w:bCs/>
        <w:color w:val="0070C0"/>
        <w:sz w:val="22"/>
        <w:lang w:val="fr-CH"/>
      </w:rPr>
      <w:t>CAS droit des patients et santé publique 2023</w:t>
    </w:r>
  </w:p>
  <w:p w:rsidRPr="002B1477" w:rsidR="00183660" w:rsidP="00183660" w:rsidRDefault="00183660" w14:paraId="6B75F125" w14:textId="77777777">
    <w:pPr>
      <w:pStyle w:val="En-tte"/>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2B1477" w:rsidR="000C2CAC" w:rsidP="000C2CAC" w:rsidRDefault="000C2CAC" w14:paraId="31B728AA" w14:textId="77777777">
    <w:pPr>
      <w:pStyle w:val="En-tte"/>
      <w:ind w:left="708"/>
      <w:jc w:val="right"/>
      <w:rPr>
        <w:rFonts w:cs="Arial"/>
        <w:b/>
        <w:bCs/>
        <w:color w:val="0070C0"/>
        <w:szCs w:val="20"/>
        <w:lang w:val="fr-CH"/>
      </w:rPr>
    </w:pPr>
    <w:r w:rsidRPr="002B1477">
      <w:rPr>
        <w:rFonts w:cs="Arial"/>
        <w:b/>
        <w:bCs/>
        <w:color w:val="0070C0"/>
        <w:szCs w:val="20"/>
        <w:lang w:val="fr-CH"/>
      </w:rPr>
      <w:t>CAS droit des patients et santé publique 2023</w:t>
    </w:r>
  </w:p>
  <w:p w:rsidRPr="002B1477" w:rsidR="000C2CAC" w:rsidRDefault="000C2CAC" w14:paraId="359A35F1" w14:textId="77777777">
    <w:pPr>
      <w:pStyle w:val="En-tte"/>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3pt;height:66.25pt" o:bullet="t" type="#_x0000_t75">
        <v:imagedata o:title="cas" r:id="rId1"/>
      </v:shape>
    </w:pict>
  </w:numPicBullet>
  <w:abstractNum w:abstractNumId="0" w15:restartNumberingAfterBreak="0">
    <w:nsid w:val="FFFFFF89"/>
    <w:multiLevelType w:val="singleLevel"/>
    <w:tmpl w:val="2ACC574C"/>
    <w:lvl w:ilvl="0">
      <w:start w:val="1"/>
      <w:numFmt w:val="bullet"/>
      <w:pStyle w:val="Listepuces"/>
      <w:lvlText w:val=""/>
      <w:lvlJc w:val="left"/>
      <w:pPr>
        <w:tabs>
          <w:tab w:val="num" w:pos="360"/>
        </w:tabs>
        <w:ind w:left="360" w:hanging="360"/>
      </w:pPr>
      <w:rPr>
        <w:rFonts w:hint="default" w:ascii="Symbol" w:hAnsi="Symbol"/>
      </w:rPr>
    </w:lvl>
  </w:abstractNum>
  <w:abstractNum w:abstractNumId="1" w15:restartNumberingAfterBreak="0">
    <w:nsid w:val="01EC7C39"/>
    <w:multiLevelType w:val="hybridMultilevel"/>
    <w:tmpl w:val="23D4F1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2C905EA"/>
    <w:multiLevelType w:val="hybridMultilevel"/>
    <w:tmpl w:val="F438AF5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98D1B14"/>
    <w:multiLevelType w:val="hybridMultilevel"/>
    <w:tmpl w:val="12C437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546493"/>
    <w:multiLevelType w:val="hybridMultilevel"/>
    <w:tmpl w:val="4582E94A"/>
    <w:lvl w:ilvl="0" w:tplc="77C43EC0">
      <w:start w:val="1"/>
      <w:numFmt w:val="bullet"/>
      <w:pStyle w:val="Bullet"/>
      <w:lvlText w:val="–"/>
      <w:lvlJc w:val="left"/>
      <w:pPr>
        <w:ind w:left="227" w:hanging="227"/>
      </w:pPr>
      <w:rPr>
        <w:rFonts w:hint="default" w:ascii="Times New Roman" w:hAnsi="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0ECA12A9"/>
    <w:multiLevelType w:val="multilevel"/>
    <w:tmpl w:val="E884C98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CBE6D76"/>
    <w:multiLevelType w:val="hybridMultilevel"/>
    <w:tmpl w:val="F022CAF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D7E11BF"/>
    <w:multiLevelType w:val="multilevel"/>
    <w:tmpl w:val="99AABE8A"/>
    <w:lvl w:ilvl="0">
      <w:start w:val="1"/>
      <w:numFmt w:val="upperRoman"/>
      <w:pStyle w:val="Titre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8" w15:restartNumberingAfterBreak="0">
    <w:nsid w:val="1F9D7510"/>
    <w:multiLevelType w:val="hybridMultilevel"/>
    <w:tmpl w:val="B5BC8934"/>
    <w:lvl w:ilvl="0" w:tplc="E6E0A27A">
      <w:start w:val="9"/>
      <w:numFmt w:val="bullet"/>
      <w:lvlText w:val="-"/>
      <w:lvlJc w:val="left"/>
      <w:pPr>
        <w:ind w:left="360" w:hanging="360"/>
      </w:pPr>
      <w:rPr>
        <w:rFonts w:hint="default" w:ascii="Arial" w:hAnsi="Arial" w:cs="Arial" w:eastAsiaTheme="minorHAnsi"/>
      </w:rPr>
    </w:lvl>
    <w:lvl w:ilvl="1" w:tplc="08070003">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9" w15:restartNumberingAfterBreak="0">
    <w:nsid w:val="2AAB2306"/>
    <w:multiLevelType w:val="multilevel"/>
    <w:tmpl w:val="EE327D3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lowerLetter"/>
      <w:pStyle w:val="Titre3"/>
      <w:lvlText w:val="%3)"/>
      <w:lvlJc w:val="right"/>
      <w:pPr>
        <w:ind w:left="928" w:hanging="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318F724F"/>
    <w:multiLevelType w:val="hybridMultilevel"/>
    <w:tmpl w:val="B58E918C"/>
    <w:lvl w:ilvl="0" w:tplc="486EFDBC">
      <w:start w:val="2014"/>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1" w15:restartNumberingAfterBreak="0">
    <w:nsid w:val="388B68F3"/>
    <w:multiLevelType w:val="hybridMultilevel"/>
    <w:tmpl w:val="6DAE430A"/>
    <w:lvl w:ilvl="0" w:tplc="D62C11C0">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2" w15:restartNumberingAfterBreak="0">
    <w:nsid w:val="3E7721FE"/>
    <w:multiLevelType w:val="hybridMultilevel"/>
    <w:tmpl w:val="4CF6D10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1ED7325"/>
    <w:multiLevelType w:val="hybridMultilevel"/>
    <w:tmpl w:val="8D7E958E"/>
    <w:lvl w:ilvl="0" w:tplc="B732A63A">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4" w15:restartNumberingAfterBreak="0">
    <w:nsid w:val="435E4078"/>
    <w:multiLevelType w:val="hybridMultilevel"/>
    <w:tmpl w:val="7F64AD46"/>
    <w:lvl w:ilvl="0" w:tplc="F69672C6">
      <w:start w:val="2"/>
      <w:numFmt w:val="bullet"/>
      <w:lvlText w:val="-"/>
      <w:lvlJc w:val="left"/>
      <w:pPr>
        <w:ind w:left="360" w:hanging="360"/>
      </w:pPr>
      <w:rPr>
        <w:rFonts w:hint="default" w:ascii="Arial" w:hAnsi="Arial" w:cs="Arial" w:eastAsiaTheme="minorHAnsi"/>
      </w:rPr>
    </w:lvl>
    <w:lvl w:ilvl="1" w:tplc="08070003">
      <w:start w:val="1"/>
      <w:numFmt w:val="bullet"/>
      <w:lvlText w:val="o"/>
      <w:lvlJc w:val="left"/>
      <w:pPr>
        <w:ind w:left="1080" w:hanging="360"/>
      </w:pPr>
      <w:rPr>
        <w:rFonts w:hint="default" w:ascii="Courier New" w:hAnsi="Courier New" w:cs="Courier New"/>
      </w:rPr>
    </w:lvl>
    <w:lvl w:ilvl="2" w:tplc="08070005">
      <w:start w:val="1"/>
      <w:numFmt w:val="bullet"/>
      <w:lvlText w:val=""/>
      <w:lvlJc w:val="left"/>
      <w:pPr>
        <w:ind w:left="1800" w:hanging="360"/>
      </w:pPr>
      <w:rPr>
        <w:rFonts w:hint="default" w:ascii="Wingdings" w:hAnsi="Wingdings"/>
      </w:rPr>
    </w:lvl>
    <w:lvl w:ilvl="3" w:tplc="0807000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5" w15:restartNumberingAfterBreak="0">
    <w:nsid w:val="445664B7"/>
    <w:multiLevelType w:val="multilevel"/>
    <w:tmpl w:val="187CCB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4225B6"/>
    <w:multiLevelType w:val="hybridMultilevel"/>
    <w:tmpl w:val="306A9EC6"/>
    <w:lvl w:ilvl="0" w:tplc="6A7ED112">
      <w:start w:val="2"/>
      <w:numFmt w:val="bullet"/>
      <w:lvlText w:val="-"/>
      <w:lvlJc w:val="left"/>
      <w:pPr>
        <w:ind w:left="720" w:hanging="360"/>
      </w:pPr>
      <w:rPr>
        <w:rFonts w:hint="default" w:ascii="Arial" w:hAnsi="Arial"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7" w15:restartNumberingAfterBreak="0">
    <w:nsid w:val="50F222F1"/>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00169F"/>
    <w:multiLevelType w:val="hybridMultilevel"/>
    <w:tmpl w:val="B2225B6A"/>
    <w:lvl w:ilvl="0" w:tplc="AFE44216">
      <w:numFmt w:val="bullet"/>
      <w:lvlText w:val="-"/>
      <w:lvlJc w:val="left"/>
      <w:pPr>
        <w:ind w:left="720" w:hanging="360"/>
      </w:pPr>
      <w:rPr>
        <w:rFonts w:hint="default" w:ascii="Arial" w:hAnsi="Arial" w:cs="Arial" w:eastAsiaTheme="minorHAnsi"/>
      </w:rPr>
    </w:lvl>
    <w:lvl w:ilvl="1" w:tplc="08070003">
      <w:start w:val="1"/>
      <w:numFmt w:val="bullet"/>
      <w:lvlText w:val="o"/>
      <w:lvlJc w:val="left"/>
      <w:pPr>
        <w:ind w:left="1440" w:hanging="360"/>
      </w:pPr>
      <w:rPr>
        <w:rFonts w:hint="default" w:ascii="Courier New" w:hAnsi="Courier New" w:cs="Courier New"/>
      </w:rPr>
    </w:lvl>
    <w:lvl w:ilvl="2" w:tplc="08070005">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9" w15:restartNumberingAfterBreak="0">
    <w:nsid w:val="5630409D"/>
    <w:multiLevelType w:val="multilevel"/>
    <w:tmpl w:val="F4A2A1B0"/>
    <w:lvl w:ilvl="0">
      <w:start w:val="1"/>
      <w:numFmt w:val="decimal"/>
      <w:lvlText w:val="%1"/>
      <w:lvlJc w:val="left"/>
      <w:pPr>
        <w:ind w:left="1077" w:hanging="1077"/>
      </w:pPr>
      <w:rPr>
        <w:rFonts w:hint="default"/>
      </w:rPr>
    </w:lvl>
    <w:lvl w:ilvl="1">
      <w:start w:val="1"/>
      <w:numFmt w:val="decimal"/>
      <w:pStyle w:val="Titre2"/>
      <w:lvlText w:val="%2)"/>
      <w:lvlJc w:val="left"/>
      <w:pPr>
        <w:ind w:left="5037" w:hanging="360"/>
      </w:p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0" w15:restartNumberingAfterBreak="0">
    <w:nsid w:val="56C75DF7"/>
    <w:multiLevelType w:val="multilevel"/>
    <w:tmpl w:val="F7ECC3CE"/>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right"/>
      <w:pPr>
        <w:ind w:left="1800" w:hanging="36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5ADD298A"/>
    <w:multiLevelType w:val="hybridMultilevel"/>
    <w:tmpl w:val="7C24D648"/>
    <w:lvl w:ilvl="0" w:tplc="4264785A">
      <w:start w:val="1"/>
      <w:numFmt w:val="bullet"/>
      <w:lvlText w:val="–"/>
      <w:lvlJc w:val="left"/>
      <w:pPr>
        <w:ind w:left="357" w:hanging="357"/>
      </w:pPr>
      <w:rPr>
        <w:rFonts w:hint="default" w:ascii="Arial" w:hAnsi="Arial"/>
      </w:rPr>
    </w:lvl>
    <w:lvl w:ilvl="1" w:tplc="04070003" w:tentative="1">
      <w:start w:val="1"/>
      <w:numFmt w:val="bullet"/>
      <w:lvlText w:val="o"/>
      <w:lvlJc w:val="left"/>
      <w:pPr>
        <w:ind w:left="1803" w:hanging="360"/>
      </w:pPr>
      <w:rPr>
        <w:rFonts w:hint="default" w:ascii="Courier New" w:hAnsi="Courier New" w:cs="Courier New"/>
      </w:rPr>
    </w:lvl>
    <w:lvl w:ilvl="2" w:tplc="04070005" w:tentative="1">
      <w:start w:val="1"/>
      <w:numFmt w:val="bullet"/>
      <w:lvlText w:val=""/>
      <w:lvlJc w:val="left"/>
      <w:pPr>
        <w:ind w:left="2523" w:hanging="360"/>
      </w:pPr>
      <w:rPr>
        <w:rFonts w:hint="default" w:ascii="Wingdings" w:hAnsi="Wingdings"/>
      </w:rPr>
    </w:lvl>
    <w:lvl w:ilvl="3" w:tplc="04070001" w:tentative="1">
      <w:start w:val="1"/>
      <w:numFmt w:val="bullet"/>
      <w:lvlText w:val=""/>
      <w:lvlJc w:val="left"/>
      <w:pPr>
        <w:ind w:left="3243" w:hanging="360"/>
      </w:pPr>
      <w:rPr>
        <w:rFonts w:hint="default" w:ascii="Symbol" w:hAnsi="Symbol"/>
      </w:rPr>
    </w:lvl>
    <w:lvl w:ilvl="4" w:tplc="04070003" w:tentative="1">
      <w:start w:val="1"/>
      <w:numFmt w:val="bullet"/>
      <w:lvlText w:val="o"/>
      <w:lvlJc w:val="left"/>
      <w:pPr>
        <w:ind w:left="3963" w:hanging="360"/>
      </w:pPr>
      <w:rPr>
        <w:rFonts w:hint="default" w:ascii="Courier New" w:hAnsi="Courier New" w:cs="Courier New"/>
      </w:rPr>
    </w:lvl>
    <w:lvl w:ilvl="5" w:tplc="04070005" w:tentative="1">
      <w:start w:val="1"/>
      <w:numFmt w:val="bullet"/>
      <w:lvlText w:val=""/>
      <w:lvlJc w:val="left"/>
      <w:pPr>
        <w:ind w:left="4683" w:hanging="360"/>
      </w:pPr>
      <w:rPr>
        <w:rFonts w:hint="default" w:ascii="Wingdings" w:hAnsi="Wingdings"/>
      </w:rPr>
    </w:lvl>
    <w:lvl w:ilvl="6" w:tplc="04070001" w:tentative="1">
      <w:start w:val="1"/>
      <w:numFmt w:val="bullet"/>
      <w:lvlText w:val=""/>
      <w:lvlJc w:val="left"/>
      <w:pPr>
        <w:ind w:left="5403" w:hanging="360"/>
      </w:pPr>
      <w:rPr>
        <w:rFonts w:hint="default" w:ascii="Symbol" w:hAnsi="Symbol"/>
      </w:rPr>
    </w:lvl>
    <w:lvl w:ilvl="7" w:tplc="04070003" w:tentative="1">
      <w:start w:val="1"/>
      <w:numFmt w:val="bullet"/>
      <w:lvlText w:val="o"/>
      <w:lvlJc w:val="left"/>
      <w:pPr>
        <w:ind w:left="6123" w:hanging="360"/>
      </w:pPr>
      <w:rPr>
        <w:rFonts w:hint="default" w:ascii="Courier New" w:hAnsi="Courier New" w:cs="Courier New"/>
      </w:rPr>
    </w:lvl>
    <w:lvl w:ilvl="8" w:tplc="04070005" w:tentative="1">
      <w:start w:val="1"/>
      <w:numFmt w:val="bullet"/>
      <w:lvlText w:val=""/>
      <w:lvlJc w:val="left"/>
      <w:pPr>
        <w:ind w:left="6843" w:hanging="360"/>
      </w:pPr>
      <w:rPr>
        <w:rFonts w:hint="default" w:ascii="Wingdings" w:hAnsi="Wingdings"/>
      </w:rPr>
    </w:lvl>
  </w:abstractNum>
  <w:abstractNum w:abstractNumId="22" w15:restartNumberingAfterBreak="0">
    <w:nsid w:val="63E17622"/>
    <w:multiLevelType w:val="multilevel"/>
    <w:tmpl w:val="88F0D42A"/>
    <w:lvl w:ilvl="0">
      <w:start w:val="1"/>
      <w:numFmt w:val="decimal"/>
      <w:lvlText w:val="%1"/>
      <w:lvlJc w:val="left"/>
      <w:pPr>
        <w:ind w:left="1077" w:hanging="1077"/>
      </w:pPr>
      <w:rPr>
        <w:rFonts w:hint="default"/>
      </w:rPr>
    </w:lvl>
    <w:lvl w:ilvl="1">
      <w:start w:val="1"/>
      <w:numFmt w:val="decimal"/>
      <w:lvlText w:val="%1.%2"/>
      <w:lvlJc w:val="left"/>
      <w:pPr>
        <w:ind w:left="5754"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3" w15:restartNumberingAfterBreak="0">
    <w:nsid w:val="643E6ABE"/>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4F313FD"/>
    <w:multiLevelType w:val="hybridMultilevel"/>
    <w:tmpl w:val="AA12F6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74057A5"/>
    <w:multiLevelType w:val="hybridMultilevel"/>
    <w:tmpl w:val="2F623ABA"/>
    <w:lvl w:ilvl="0" w:tplc="E6AAC6AE">
      <w:start w:val="1"/>
      <w:numFmt w:val="bullet"/>
      <w:lvlText w:val=""/>
      <w:lvlPicBulletId w:val="0"/>
      <w:lvlJc w:val="left"/>
      <w:pPr>
        <w:ind w:left="720" w:hanging="360"/>
      </w:pPr>
      <w:rPr>
        <w:rFonts w:hint="default" w:ascii="Symbol" w:hAnsi="Symbol"/>
        <w:color w:val="auto"/>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6" w15:restartNumberingAfterBreak="0">
    <w:nsid w:val="6E9800E0"/>
    <w:multiLevelType w:val="hybridMultilevel"/>
    <w:tmpl w:val="BFEE9354"/>
    <w:lvl w:ilvl="0" w:tplc="DE18D584">
      <w:start w:val="6"/>
      <w:numFmt w:val="bullet"/>
      <w:lvlText w:val=""/>
      <w:lvlJc w:val="left"/>
      <w:pPr>
        <w:ind w:left="720" w:hanging="360"/>
      </w:pPr>
      <w:rPr>
        <w:rFonts w:hint="default" w:ascii="Wingdings" w:hAnsi="Wingdings" w:eastAsiaTheme="minorHAnsi" w:cstheme="minorBid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7" w15:restartNumberingAfterBreak="0">
    <w:nsid w:val="6EB15940"/>
    <w:multiLevelType w:val="hybridMultilevel"/>
    <w:tmpl w:val="C46E3F9C"/>
    <w:lvl w:ilvl="0" w:tplc="DF4AB016">
      <w:start w:val="8"/>
      <w:numFmt w:val="bullet"/>
      <w:lvlText w:val="-"/>
      <w:lvlJc w:val="left"/>
      <w:pPr>
        <w:ind w:left="360" w:hanging="360"/>
      </w:pPr>
      <w:rPr>
        <w:rFonts w:hint="default" w:ascii="Arial" w:hAnsi="Arial" w:cs="Arial" w:eastAsiaTheme="minorHAnsi"/>
      </w:rPr>
    </w:lvl>
    <w:lvl w:ilvl="1" w:tplc="08070003">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8" w15:restartNumberingAfterBreak="0">
    <w:nsid w:val="7F5415E5"/>
    <w:multiLevelType w:val="hybridMultilevel"/>
    <w:tmpl w:val="9020A6CA"/>
    <w:lvl w:ilvl="0" w:tplc="3FF647D6">
      <w:start w:val="1"/>
      <w:numFmt w:val="decimal"/>
      <w:pStyle w:val="ZwischenberschriftmitNummerieru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22"/>
  </w:num>
  <w:num w:numId="4">
    <w:abstractNumId w:val="22"/>
  </w:num>
  <w:num w:numId="5">
    <w:abstractNumId w:val="22"/>
  </w:num>
  <w:num w:numId="6">
    <w:abstractNumId w:val="4"/>
  </w:num>
  <w:num w:numId="7">
    <w:abstractNumId w:val="4"/>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1"/>
  </w:num>
  <w:num w:numId="18">
    <w:abstractNumId w:val="28"/>
  </w:num>
  <w:num w:numId="19">
    <w:abstractNumId w:val="18"/>
  </w:num>
  <w:num w:numId="20">
    <w:abstractNumId w:val="6"/>
  </w:num>
  <w:num w:numId="21">
    <w:abstractNumId w:val="3"/>
  </w:num>
  <w:num w:numId="22">
    <w:abstractNumId w:val="11"/>
  </w:num>
  <w:num w:numId="23">
    <w:abstractNumId w:val="10"/>
  </w:num>
  <w:num w:numId="24">
    <w:abstractNumId w:val="26"/>
  </w:num>
  <w:num w:numId="25">
    <w:abstractNumId w:val="13"/>
  </w:num>
  <w:num w:numId="26">
    <w:abstractNumId w:val="16"/>
  </w:num>
  <w:num w:numId="27">
    <w:abstractNumId w:val="14"/>
  </w:num>
  <w:num w:numId="28">
    <w:abstractNumId w:val="17"/>
  </w:num>
  <w:num w:numId="29">
    <w:abstractNumId w:val="1"/>
  </w:num>
  <w:num w:numId="30">
    <w:abstractNumId w:val="2"/>
  </w:num>
  <w:num w:numId="31">
    <w:abstractNumId w:val="15"/>
  </w:num>
  <w:num w:numId="32">
    <w:abstractNumId w:val="24"/>
  </w:num>
  <w:num w:numId="33">
    <w:abstractNumId w:val="12"/>
  </w:num>
  <w:num w:numId="34">
    <w:abstractNumId w:val="23"/>
  </w:num>
  <w:num w:numId="35">
    <w:abstractNumId w:val="27"/>
  </w:num>
  <w:num w:numId="36">
    <w:abstractNumId w:val="0"/>
  </w:num>
  <w:num w:numId="37">
    <w:abstractNumId w:val="8"/>
  </w:num>
  <w:num w:numId="38">
    <w:abstractNumId w:val="5"/>
  </w:num>
  <w:num w:numId="39">
    <w:abstractNumId w:val="7"/>
  </w:num>
  <w:num w:numId="40">
    <w:abstractNumId w:val="25"/>
  </w:num>
  <w:num w:numId="41">
    <w:abstractNumId w:val="19"/>
  </w:num>
  <w:num w:numId="42">
    <w:abstractNumId w:val="20"/>
  </w:num>
  <w:num w:numId="43">
    <w:abstractNumId w:val="9"/>
  </w:num>
  <w:num w:numId="44">
    <w:abstractNumId w:val="20"/>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trackRevisions w:val="false"/>
  <w:defaultTabStop w:val="708"/>
  <w:hyphenationZone w:val="425"/>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11"/>
    <w:rsid w:val="000034E5"/>
    <w:rsid w:val="00004A6A"/>
    <w:rsid w:val="00013D7C"/>
    <w:rsid w:val="0001789F"/>
    <w:rsid w:val="00023E02"/>
    <w:rsid w:val="00027BE6"/>
    <w:rsid w:val="000332AE"/>
    <w:rsid w:val="00034382"/>
    <w:rsid w:val="000358EC"/>
    <w:rsid w:val="00040255"/>
    <w:rsid w:val="00045CE3"/>
    <w:rsid w:val="00050DB3"/>
    <w:rsid w:val="0005206D"/>
    <w:rsid w:val="00052FDE"/>
    <w:rsid w:val="000578FF"/>
    <w:rsid w:val="00061C97"/>
    <w:rsid w:val="00062DFD"/>
    <w:rsid w:val="0007147A"/>
    <w:rsid w:val="0007470C"/>
    <w:rsid w:val="000768FD"/>
    <w:rsid w:val="00077365"/>
    <w:rsid w:val="0008315C"/>
    <w:rsid w:val="000831A8"/>
    <w:rsid w:val="00083AF5"/>
    <w:rsid w:val="00084E60"/>
    <w:rsid w:val="00093B26"/>
    <w:rsid w:val="00095F37"/>
    <w:rsid w:val="000A68A1"/>
    <w:rsid w:val="000A74CF"/>
    <w:rsid w:val="000B1A4E"/>
    <w:rsid w:val="000B3DF1"/>
    <w:rsid w:val="000C0E59"/>
    <w:rsid w:val="000C20B2"/>
    <w:rsid w:val="000C2CAC"/>
    <w:rsid w:val="000D09E3"/>
    <w:rsid w:val="000D7C04"/>
    <w:rsid w:val="000E045C"/>
    <w:rsid w:val="000E4167"/>
    <w:rsid w:val="000F21C7"/>
    <w:rsid w:val="000F380E"/>
    <w:rsid w:val="000F6112"/>
    <w:rsid w:val="00102B58"/>
    <w:rsid w:val="00104743"/>
    <w:rsid w:val="001055D7"/>
    <w:rsid w:val="00105EC5"/>
    <w:rsid w:val="0011656B"/>
    <w:rsid w:val="0011767A"/>
    <w:rsid w:val="00122F59"/>
    <w:rsid w:val="00125EA5"/>
    <w:rsid w:val="00130DFE"/>
    <w:rsid w:val="00132680"/>
    <w:rsid w:val="00133A30"/>
    <w:rsid w:val="00133C73"/>
    <w:rsid w:val="0014085F"/>
    <w:rsid w:val="0014495D"/>
    <w:rsid w:val="00146C7D"/>
    <w:rsid w:val="0015034A"/>
    <w:rsid w:val="00156150"/>
    <w:rsid w:val="00157A96"/>
    <w:rsid w:val="00161F08"/>
    <w:rsid w:val="00163B04"/>
    <w:rsid w:val="001649A4"/>
    <w:rsid w:val="001653E6"/>
    <w:rsid w:val="00165AA9"/>
    <w:rsid w:val="00171156"/>
    <w:rsid w:val="00171F8A"/>
    <w:rsid w:val="0017308E"/>
    <w:rsid w:val="00181C39"/>
    <w:rsid w:val="00183660"/>
    <w:rsid w:val="0018416D"/>
    <w:rsid w:val="001854A2"/>
    <w:rsid w:val="00185AD4"/>
    <w:rsid w:val="00186A36"/>
    <w:rsid w:val="00187C13"/>
    <w:rsid w:val="0019008F"/>
    <w:rsid w:val="00194941"/>
    <w:rsid w:val="00197740"/>
    <w:rsid w:val="001A03AF"/>
    <w:rsid w:val="001A5167"/>
    <w:rsid w:val="001A6081"/>
    <w:rsid w:val="001B0414"/>
    <w:rsid w:val="001B1EAA"/>
    <w:rsid w:val="001C274C"/>
    <w:rsid w:val="001C2A64"/>
    <w:rsid w:val="001C4B07"/>
    <w:rsid w:val="001D1F8A"/>
    <w:rsid w:val="001D5061"/>
    <w:rsid w:val="001E1EA6"/>
    <w:rsid w:val="001E4637"/>
    <w:rsid w:val="001F1553"/>
    <w:rsid w:val="001F4B04"/>
    <w:rsid w:val="001F564B"/>
    <w:rsid w:val="001F6C0C"/>
    <w:rsid w:val="002072E1"/>
    <w:rsid w:val="0020765A"/>
    <w:rsid w:val="00213333"/>
    <w:rsid w:val="002156ED"/>
    <w:rsid w:val="00223859"/>
    <w:rsid w:val="0022392E"/>
    <w:rsid w:val="0022551E"/>
    <w:rsid w:val="0022704B"/>
    <w:rsid w:val="002277A5"/>
    <w:rsid w:val="00243053"/>
    <w:rsid w:val="002467EB"/>
    <w:rsid w:val="00247EA3"/>
    <w:rsid w:val="00250F53"/>
    <w:rsid w:val="00262797"/>
    <w:rsid w:val="00263242"/>
    <w:rsid w:val="0026518A"/>
    <w:rsid w:val="002728E6"/>
    <w:rsid w:val="002830F6"/>
    <w:rsid w:val="00291CDA"/>
    <w:rsid w:val="00291D8C"/>
    <w:rsid w:val="002A2934"/>
    <w:rsid w:val="002A6642"/>
    <w:rsid w:val="002B1477"/>
    <w:rsid w:val="002B7CCF"/>
    <w:rsid w:val="002D28E9"/>
    <w:rsid w:val="002D43D6"/>
    <w:rsid w:val="002E0846"/>
    <w:rsid w:val="002E4FFE"/>
    <w:rsid w:val="002E65F8"/>
    <w:rsid w:val="002E6C55"/>
    <w:rsid w:val="002E7C46"/>
    <w:rsid w:val="002F4991"/>
    <w:rsid w:val="002F4BBC"/>
    <w:rsid w:val="002F6422"/>
    <w:rsid w:val="0030007A"/>
    <w:rsid w:val="003046DC"/>
    <w:rsid w:val="003068F9"/>
    <w:rsid w:val="00307DAA"/>
    <w:rsid w:val="003160A8"/>
    <w:rsid w:val="00317C5A"/>
    <w:rsid w:val="00321744"/>
    <w:rsid w:val="003217BA"/>
    <w:rsid w:val="00323C45"/>
    <w:rsid w:val="00327209"/>
    <w:rsid w:val="003316E8"/>
    <w:rsid w:val="00340701"/>
    <w:rsid w:val="003433CE"/>
    <w:rsid w:val="00343D7F"/>
    <w:rsid w:val="003444C1"/>
    <w:rsid w:val="003467A6"/>
    <w:rsid w:val="003470B3"/>
    <w:rsid w:val="00347598"/>
    <w:rsid w:val="00353DFC"/>
    <w:rsid w:val="0035636D"/>
    <w:rsid w:val="003615B0"/>
    <w:rsid w:val="003703D3"/>
    <w:rsid w:val="00373E89"/>
    <w:rsid w:val="003740AF"/>
    <w:rsid w:val="00395469"/>
    <w:rsid w:val="00396FDA"/>
    <w:rsid w:val="003A2DCA"/>
    <w:rsid w:val="003A6131"/>
    <w:rsid w:val="003A754A"/>
    <w:rsid w:val="003B3ED3"/>
    <w:rsid w:val="003B5D14"/>
    <w:rsid w:val="003B7958"/>
    <w:rsid w:val="003C6970"/>
    <w:rsid w:val="003C6B81"/>
    <w:rsid w:val="003D0A68"/>
    <w:rsid w:val="003E1390"/>
    <w:rsid w:val="003E3CA0"/>
    <w:rsid w:val="003E4FCE"/>
    <w:rsid w:val="003E59E0"/>
    <w:rsid w:val="004006B8"/>
    <w:rsid w:val="00404E72"/>
    <w:rsid w:val="00407BC5"/>
    <w:rsid w:val="0041623E"/>
    <w:rsid w:val="00416DC0"/>
    <w:rsid w:val="00417057"/>
    <w:rsid w:val="004226DD"/>
    <w:rsid w:val="0042497D"/>
    <w:rsid w:val="004312DB"/>
    <w:rsid w:val="00432F6E"/>
    <w:rsid w:val="0043396A"/>
    <w:rsid w:val="004405E4"/>
    <w:rsid w:val="0044150A"/>
    <w:rsid w:val="0044315E"/>
    <w:rsid w:val="00447E44"/>
    <w:rsid w:val="00450D66"/>
    <w:rsid w:val="004527F0"/>
    <w:rsid w:val="004568CA"/>
    <w:rsid w:val="00457B6E"/>
    <w:rsid w:val="00464DCF"/>
    <w:rsid w:val="00465FFA"/>
    <w:rsid w:val="00466296"/>
    <w:rsid w:val="004666BE"/>
    <w:rsid w:val="004679CB"/>
    <w:rsid w:val="0047380B"/>
    <w:rsid w:val="00476943"/>
    <w:rsid w:val="00480444"/>
    <w:rsid w:val="004850F0"/>
    <w:rsid w:val="0049043E"/>
    <w:rsid w:val="004A714E"/>
    <w:rsid w:val="004A7151"/>
    <w:rsid w:val="004C124B"/>
    <w:rsid w:val="004C4D5C"/>
    <w:rsid w:val="004D166C"/>
    <w:rsid w:val="004D183A"/>
    <w:rsid w:val="004D6CA3"/>
    <w:rsid w:val="004D75D9"/>
    <w:rsid w:val="004E187D"/>
    <w:rsid w:val="004E4F3A"/>
    <w:rsid w:val="004E743A"/>
    <w:rsid w:val="004E7EF9"/>
    <w:rsid w:val="004F00DF"/>
    <w:rsid w:val="004F2630"/>
    <w:rsid w:val="004F626B"/>
    <w:rsid w:val="004F7E49"/>
    <w:rsid w:val="004F7FF1"/>
    <w:rsid w:val="00505D71"/>
    <w:rsid w:val="00506428"/>
    <w:rsid w:val="005067FA"/>
    <w:rsid w:val="00513FB3"/>
    <w:rsid w:val="00514034"/>
    <w:rsid w:val="005156FE"/>
    <w:rsid w:val="00515EA3"/>
    <w:rsid w:val="00520B85"/>
    <w:rsid w:val="00524EE8"/>
    <w:rsid w:val="00526E8D"/>
    <w:rsid w:val="005279A4"/>
    <w:rsid w:val="00527BF5"/>
    <w:rsid w:val="0053536B"/>
    <w:rsid w:val="005406D2"/>
    <w:rsid w:val="00542163"/>
    <w:rsid w:val="00542728"/>
    <w:rsid w:val="00544F63"/>
    <w:rsid w:val="005538EC"/>
    <w:rsid w:val="00554443"/>
    <w:rsid w:val="00557504"/>
    <w:rsid w:val="00566B01"/>
    <w:rsid w:val="005755A3"/>
    <w:rsid w:val="00576303"/>
    <w:rsid w:val="00580A44"/>
    <w:rsid w:val="0058361D"/>
    <w:rsid w:val="00584591"/>
    <w:rsid w:val="00595F46"/>
    <w:rsid w:val="005A7D4C"/>
    <w:rsid w:val="005B292E"/>
    <w:rsid w:val="005B2DF0"/>
    <w:rsid w:val="005B64D2"/>
    <w:rsid w:val="005C1669"/>
    <w:rsid w:val="005C16FA"/>
    <w:rsid w:val="005D1097"/>
    <w:rsid w:val="005D3E8D"/>
    <w:rsid w:val="005D5405"/>
    <w:rsid w:val="005D7924"/>
    <w:rsid w:val="005E10FB"/>
    <w:rsid w:val="005E19DC"/>
    <w:rsid w:val="005E259A"/>
    <w:rsid w:val="005E4193"/>
    <w:rsid w:val="005E5F08"/>
    <w:rsid w:val="005E62AB"/>
    <w:rsid w:val="005F3EBC"/>
    <w:rsid w:val="005F6293"/>
    <w:rsid w:val="005F6476"/>
    <w:rsid w:val="00603D74"/>
    <w:rsid w:val="00605622"/>
    <w:rsid w:val="00620F2B"/>
    <w:rsid w:val="0062100D"/>
    <w:rsid w:val="00623615"/>
    <w:rsid w:val="00625789"/>
    <w:rsid w:val="0064399D"/>
    <w:rsid w:val="0064601C"/>
    <w:rsid w:val="00652FE6"/>
    <w:rsid w:val="00656ADA"/>
    <w:rsid w:val="00663BA7"/>
    <w:rsid w:val="00663C1A"/>
    <w:rsid w:val="006640A8"/>
    <w:rsid w:val="00675980"/>
    <w:rsid w:val="00680588"/>
    <w:rsid w:val="00680D0D"/>
    <w:rsid w:val="006832DB"/>
    <w:rsid w:val="00683565"/>
    <w:rsid w:val="00690CAC"/>
    <w:rsid w:val="00691537"/>
    <w:rsid w:val="00691623"/>
    <w:rsid w:val="006A465B"/>
    <w:rsid w:val="006B3A82"/>
    <w:rsid w:val="006B5A07"/>
    <w:rsid w:val="006D4D8A"/>
    <w:rsid w:val="006E114C"/>
    <w:rsid w:val="006E234F"/>
    <w:rsid w:val="006E42B2"/>
    <w:rsid w:val="006E63E3"/>
    <w:rsid w:val="006E772D"/>
    <w:rsid w:val="006F041B"/>
    <w:rsid w:val="006F1BA1"/>
    <w:rsid w:val="007005B0"/>
    <w:rsid w:val="007032CF"/>
    <w:rsid w:val="007043DA"/>
    <w:rsid w:val="00712970"/>
    <w:rsid w:val="00717892"/>
    <w:rsid w:val="00717D67"/>
    <w:rsid w:val="0072223D"/>
    <w:rsid w:val="00727F1A"/>
    <w:rsid w:val="007349F7"/>
    <w:rsid w:val="00742C3C"/>
    <w:rsid w:val="00745C5F"/>
    <w:rsid w:val="0074637C"/>
    <w:rsid w:val="00746490"/>
    <w:rsid w:val="00747052"/>
    <w:rsid w:val="00747BB2"/>
    <w:rsid w:val="00747DEE"/>
    <w:rsid w:val="00750F69"/>
    <w:rsid w:val="00751C12"/>
    <w:rsid w:val="00757BF0"/>
    <w:rsid w:val="00765558"/>
    <w:rsid w:val="007673FC"/>
    <w:rsid w:val="00767658"/>
    <w:rsid w:val="0077686C"/>
    <w:rsid w:val="00782116"/>
    <w:rsid w:val="00782E0F"/>
    <w:rsid w:val="00786E9E"/>
    <w:rsid w:val="007945DE"/>
    <w:rsid w:val="0079478D"/>
    <w:rsid w:val="00796A84"/>
    <w:rsid w:val="007B291C"/>
    <w:rsid w:val="007C1258"/>
    <w:rsid w:val="007C2EA6"/>
    <w:rsid w:val="007D37D6"/>
    <w:rsid w:val="007D439C"/>
    <w:rsid w:val="007E02DC"/>
    <w:rsid w:val="007E5A34"/>
    <w:rsid w:val="007E7D8F"/>
    <w:rsid w:val="007F4BD5"/>
    <w:rsid w:val="00802A58"/>
    <w:rsid w:val="00814087"/>
    <w:rsid w:val="00831C60"/>
    <w:rsid w:val="00840F4C"/>
    <w:rsid w:val="00862B6D"/>
    <w:rsid w:val="008652EB"/>
    <w:rsid w:val="00867DCB"/>
    <w:rsid w:val="00873B5D"/>
    <w:rsid w:val="008764BD"/>
    <w:rsid w:val="00882BFF"/>
    <w:rsid w:val="00891AB0"/>
    <w:rsid w:val="00893BF0"/>
    <w:rsid w:val="00895F26"/>
    <w:rsid w:val="00896CA8"/>
    <w:rsid w:val="008972EC"/>
    <w:rsid w:val="008976E0"/>
    <w:rsid w:val="00897B9A"/>
    <w:rsid w:val="008A2549"/>
    <w:rsid w:val="008A6035"/>
    <w:rsid w:val="008B3E67"/>
    <w:rsid w:val="008B4548"/>
    <w:rsid w:val="008C063D"/>
    <w:rsid w:val="008C176E"/>
    <w:rsid w:val="008C1C16"/>
    <w:rsid w:val="008C1E40"/>
    <w:rsid w:val="008D078E"/>
    <w:rsid w:val="008D0A8D"/>
    <w:rsid w:val="008D1EE4"/>
    <w:rsid w:val="008D2760"/>
    <w:rsid w:val="008D5B48"/>
    <w:rsid w:val="008E0A34"/>
    <w:rsid w:val="008F24DC"/>
    <w:rsid w:val="008F418B"/>
    <w:rsid w:val="008F75A8"/>
    <w:rsid w:val="008F7F49"/>
    <w:rsid w:val="00901752"/>
    <w:rsid w:val="00905928"/>
    <w:rsid w:val="00915C67"/>
    <w:rsid w:val="00915CB5"/>
    <w:rsid w:val="00916DAA"/>
    <w:rsid w:val="00930620"/>
    <w:rsid w:val="009312FA"/>
    <w:rsid w:val="009325D7"/>
    <w:rsid w:val="00946AE5"/>
    <w:rsid w:val="009503C7"/>
    <w:rsid w:val="00950FF5"/>
    <w:rsid w:val="00952A30"/>
    <w:rsid w:val="00954EB6"/>
    <w:rsid w:val="0095538E"/>
    <w:rsid w:val="00965E34"/>
    <w:rsid w:val="0097182F"/>
    <w:rsid w:val="00976904"/>
    <w:rsid w:val="00982211"/>
    <w:rsid w:val="009840F0"/>
    <w:rsid w:val="00987FA2"/>
    <w:rsid w:val="00991091"/>
    <w:rsid w:val="00995ED0"/>
    <w:rsid w:val="00996642"/>
    <w:rsid w:val="009A0A44"/>
    <w:rsid w:val="009B48E6"/>
    <w:rsid w:val="009B4E7F"/>
    <w:rsid w:val="009B6BD6"/>
    <w:rsid w:val="009C0A98"/>
    <w:rsid w:val="009C6AC4"/>
    <w:rsid w:val="009E044C"/>
    <w:rsid w:val="009F0C43"/>
    <w:rsid w:val="009F5716"/>
    <w:rsid w:val="00A01782"/>
    <w:rsid w:val="00A039BD"/>
    <w:rsid w:val="00A11995"/>
    <w:rsid w:val="00A149A7"/>
    <w:rsid w:val="00A25F7A"/>
    <w:rsid w:val="00A35389"/>
    <w:rsid w:val="00A35BCD"/>
    <w:rsid w:val="00A36515"/>
    <w:rsid w:val="00A370DF"/>
    <w:rsid w:val="00A41732"/>
    <w:rsid w:val="00A51C83"/>
    <w:rsid w:val="00A55F34"/>
    <w:rsid w:val="00A601C4"/>
    <w:rsid w:val="00A64F8C"/>
    <w:rsid w:val="00A65EEA"/>
    <w:rsid w:val="00A67DE6"/>
    <w:rsid w:val="00A74522"/>
    <w:rsid w:val="00A81A1F"/>
    <w:rsid w:val="00A84F8A"/>
    <w:rsid w:val="00A90CD9"/>
    <w:rsid w:val="00A95111"/>
    <w:rsid w:val="00A96ACC"/>
    <w:rsid w:val="00A97EA0"/>
    <w:rsid w:val="00AA2C65"/>
    <w:rsid w:val="00AA6D01"/>
    <w:rsid w:val="00AB4471"/>
    <w:rsid w:val="00AB6851"/>
    <w:rsid w:val="00AC42AD"/>
    <w:rsid w:val="00AC48F7"/>
    <w:rsid w:val="00AD54DB"/>
    <w:rsid w:val="00AE7053"/>
    <w:rsid w:val="00AF1C02"/>
    <w:rsid w:val="00AF2D73"/>
    <w:rsid w:val="00B04F38"/>
    <w:rsid w:val="00B05972"/>
    <w:rsid w:val="00B16AC6"/>
    <w:rsid w:val="00B1749A"/>
    <w:rsid w:val="00B21406"/>
    <w:rsid w:val="00B27B6E"/>
    <w:rsid w:val="00B3650A"/>
    <w:rsid w:val="00B4148E"/>
    <w:rsid w:val="00B4274F"/>
    <w:rsid w:val="00B45A4C"/>
    <w:rsid w:val="00B46232"/>
    <w:rsid w:val="00B472B3"/>
    <w:rsid w:val="00B50C0C"/>
    <w:rsid w:val="00B55AAD"/>
    <w:rsid w:val="00B6102F"/>
    <w:rsid w:val="00B62039"/>
    <w:rsid w:val="00B660C1"/>
    <w:rsid w:val="00B67948"/>
    <w:rsid w:val="00B71516"/>
    <w:rsid w:val="00B75C78"/>
    <w:rsid w:val="00B779CF"/>
    <w:rsid w:val="00B80E12"/>
    <w:rsid w:val="00B8397A"/>
    <w:rsid w:val="00B9339C"/>
    <w:rsid w:val="00B94676"/>
    <w:rsid w:val="00BA6EBA"/>
    <w:rsid w:val="00BB4297"/>
    <w:rsid w:val="00BB5F9B"/>
    <w:rsid w:val="00BC2CC5"/>
    <w:rsid w:val="00BC46A9"/>
    <w:rsid w:val="00BC5C2B"/>
    <w:rsid w:val="00BD04F2"/>
    <w:rsid w:val="00BD792F"/>
    <w:rsid w:val="00BE34D2"/>
    <w:rsid w:val="00BE65EE"/>
    <w:rsid w:val="00BE667E"/>
    <w:rsid w:val="00BF2C67"/>
    <w:rsid w:val="00BF46BE"/>
    <w:rsid w:val="00C01B01"/>
    <w:rsid w:val="00C027DE"/>
    <w:rsid w:val="00C0495B"/>
    <w:rsid w:val="00C102D2"/>
    <w:rsid w:val="00C10B62"/>
    <w:rsid w:val="00C10B7D"/>
    <w:rsid w:val="00C146F9"/>
    <w:rsid w:val="00C164B0"/>
    <w:rsid w:val="00C16F92"/>
    <w:rsid w:val="00C241D3"/>
    <w:rsid w:val="00C24701"/>
    <w:rsid w:val="00C24EDB"/>
    <w:rsid w:val="00C25B69"/>
    <w:rsid w:val="00C36922"/>
    <w:rsid w:val="00C3797F"/>
    <w:rsid w:val="00C523A0"/>
    <w:rsid w:val="00C57837"/>
    <w:rsid w:val="00C57C6B"/>
    <w:rsid w:val="00C62FFD"/>
    <w:rsid w:val="00C67861"/>
    <w:rsid w:val="00C70300"/>
    <w:rsid w:val="00C83C47"/>
    <w:rsid w:val="00C84472"/>
    <w:rsid w:val="00C84D09"/>
    <w:rsid w:val="00C852B5"/>
    <w:rsid w:val="00C87695"/>
    <w:rsid w:val="00C927D6"/>
    <w:rsid w:val="00C933D9"/>
    <w:rsid w:val="00C93BD2"/>
    <w:rsid w:val="00C9551F"/>
    <w:rsid w:val="00CB7B53"/>
    <w:rsid w:val="00CC1A4D"/>
    <w:rsid w:val="00CD2BB4"/>
    <w:rsid w:val="00CD3B48"/>
    <w:rsid w:val="00CD4A28"/>
    <w:rsid w:val="00CD5245"/>
    <w:rsid w:val="00CD731A"/>
    <w:rsid w:val="00CE0848"/>
    <w:rsid w:val="00CE0E25"/>
    <w:rsid w:val="00CE434B"/>
    <w:rsid w:val="00CF34A7"/>
    <w:rsid w:val="00CF68DD"/>
    <w:rsid w:val="00CF76E9"/>
    <w:rsid w:val="00D04689"/>
    <w:rsid w:val="00D24890"/>
    <w:rsid w:val="00D252ED"/>
    <w:rsid w:val="00D34417"/>
    <w:rsid w:val="00D3567D"/>
    <w:rsid w:val="00D37CA0"/>
    <w:rsid w:val="00D4023C"/>
    <w:rsid w:val="00D4124E"/>
    <w:rsid w:val="00D43EBE"/>
    <w:rsid w:val="00D5211A"/>
    <w:rsid w:val="00D53296"/>
    <w:rsid w:val="00D57348"/>
    <w:rsid w:val="00D60C72"/>
    <w:rsid w:val="00D65CE1"/>
    <w:rsid w:val="00D71DA7"/>
    <w:rsid w:val="00D74E02"/>
    <w:rsid w:val="00D84B91"/>
    <w:rsid w:val="00D92412"/>
    <w:rsid w:val="00D95DD9"/>
    <w:rsid w:val="00D9776B"/>
    <w:rsid w:val="00DA679C"/>
    <w:rsid w:val="00DB0DEB"/>
    <w:rsid w:val="00DB12B7"/>
    <w:rsid w:val="00DB4088"/>
    <w:rsid w:val="00DB41B9"/>
    <w:rsid w:val="00DB5F3F"/>
    <w:rsid w:val="00DB7028"/>
    <w:rsid w:val="00DC3231"/>
    <w:rsid w:val="00DC7723"/>
    <w:rsid w:val="00DC799D"/>
    <w:rsid w:val="00DD700B"/>
    <w:rsid w:val="00DE651E"/>
    <w:rsid w:val="00DE687A"/>
    <w:rsid w:val="00DF057B"/>
    <w:rsid w:val="00DF05D4"/>
    <w:rsid w:val="00E14CF5"/>
    <w:rsid w:val="00E176DC"/>
    <w:rsid w:val="00E21C14"/>
    <w:rsid w:val="00E25F95"/>
    <w:rsid w:val="00E27A8E"/>
    <w:rsid w:val="00E35503"/>
    <w:rsid w:val="00E36297"/>
    <w:rsid w:val="00E53D0A"/>
    <w:rsid w:val="00E5462F"/>
    <w:rsid w:val="00E5604A"/>
    <w:rsid w:val="00E57FDA"/>
    <w:rsid w:val="00E60CEA"/>
    <w:rsid w:val="00E61801"/>
    <w:rsid w:val="00E665A5"/>
    <w:rsid w:val="00E66627"/>
    <w:rsid w:val="00E66C70"/>
    <w:rsid w:val="00E66DDC"/>
    <w:rsid w:val="00E7177A"/>
    <w:rsid w:val="00E74924"/>
    <w:rsid w:val="00E841B6"/>
    <w:rsid w:val="00E867D7"/>
    <w:rsid w:val="00E91F2C"/>
    <w:rsid w:val="00E930EB"/>
    <w:rsid w:val="00E97359"/>
    <w:rsid w:val="00EA0104"/>
    <w:rsid w:val="00EB1067"/>
    <w:rsid w:val="00EB4F56"/>
    <w:rsid w:val="00EC08C2"/>
    <w:rsid w:val="00ED06E8"/>
    <w:rsid w:val="00ED205B"/>
    <w:rsid w:val="00ED4B12"/>
    <w:rsid w:val="00EE5A64"/>
    <w:rsid w:val="00F05D2B"/>
    <w:rsid w:val="00F12D4B"/>
    <w:rsid w:val="00F1437E"/>
    <w:rsid w:val="00F15CB8"/>
    <w:rsid w:val="00F2002F"/>
    <w:rsid w:val="00F21DBE"/>
    <w:rsid w:val="00F2269E"/>
    <w:rsid w:val="00F247E4"/>
    <w:rsid w:val="00F33703"/>
    <w:rsid w:val="00F342D3"/>
    <w:rsid w:val="00F358ED"/>
    <w:rsid w:val="00F40ADA"/>
    <w:rsid w:val="00F50033"/>
    <w:rsid w:val="00F52FE3"/>
    <w:rsid w:val="00F713DD"/>
    <w:rsid w:val="00F72D77"/>
    <w:rsid w:val="00F7330A"/>
    <w:rsid w:val="00F73FAD"/>
    <w:rsid w:val="00F75D9D"/>
    <w:rsid w:val="00F80401"/>
    <w:rsid w:val="00F80C5A"/>
    <w:rsid w:val="00F832ED"/>
    <w:rsid w:val="00F970A0"/>
    <w:rsid w:val="00F9710D"/>
    <w:rsid w:val="00F97CA7"/>
    <w:rsid w:val="00FA4F34"/>
    <w:rsid w:val="00FA6D86"/>
    <w:rsid w:val="00FB1D50"/>
    <w:rsid w:val="00FB4F2D"/>
    <w:rsid w:val="00FB7A21"/>
    <w:rsid w:val="00FC4979"/>
    <w:rsid w:val="00FD080A"/>
    <w:rsid w:val="00FD1298"/>
    <w:rsid w:val="00FD2766"/>
    <w:rsid w:val="00FD65D4"/>
    <w:rsid w:val="00FD73B0"/>
    <w:rsid w:val="00FE1CA9"/>
    <w:rsid w:val="00FF13AF"/>
    <w:rsid w:val="00FF3D0E"/>
    <w:rsid w:val="00FF44DC"/>
    <w:rsid w:val="00FF5333"/>
    <w:rsid w:val="19DA6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A45D86"/>
  <w15:docId w15:val="{FA5C75D8-CEA5-409D-985F-5CAE930B87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2"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2" w:semiHidden="1" w:unhideWhenUsed="1" w:qFormat="1"/>
    <w:lsdException w:name="heading 6" w:uiPriority="2" w:semiHidden="1" w:unhideWhenUsed="1" w:qFormat="1"/>
    <w:lsdException w:name="heading 7" w:uiPriority="2" w:semiHidden="1" w:unhideWhenUsed="1" w:qFormat="1"/>
    <w:lsdException w:name="heading 8" w:uiPriority="2" w:semiHidden="1" w:unhideWhenUsed="1" w:qFormat="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13"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13"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2"/>
    <w:qFormat/>
    <w:rsid w:val="00F970A0"/>
    <w:rPr>
      <w:rFonts w:ascii="Arial" w:hAnsi="Arial"/>
      <w:sz w:val="20"/>
    </w:rPr>
  </w:style>
  <w:style w:type="paragraph" w:styleId="Titre1">
    <w:name w:val="heading 1"/>
    <w:basedOn w:val="Normal"/>
    <w:next w:val="Normal"/>
    <w:link w:val="Titre1Car"/>
    <w:autoRedefine/>
    <w:uiPriority w:val="2"/>
    <w:qFormat/>
    <w:rsid w:val="002E7C46"/>
    <w:pPr>
      <w:numPr>
        <w:numId w:val="39"/>
      </w:numPr>
      <w:spacing w:before="120" w:after="120" w:line="276" w:lineRule="auto"/>
      <w:ind w:left="567" w:hanging="567"/>
      <w:jc w:val="both"/>
      <w:outlineLvl w:val="0"/>
    </w:pPr>
    <w:rPr>
      <w:rFonts w:ascii="Verdana" w:hAnsi="Verdana" w:cstheme="majorHAnsi"/>
      <w:b/>
      <w:caps/>
      <w:color w:val="0070C0"/>
      <w:szCs w:val="20"/>
      <w:lang w:val="fr-CH"/>
    </w:rPr>
  </w:style>
  <w:style w:type="paragraph" w:styleId="Titre2">
    <w:name w:val="heading 2"/>
    <w:basedOn w:val="Normal"/>
    <w:next w:val="Normal"/>
    <w:link w:val="Titre2Car"/>
    <w:autoRedefine/>
    <w:uiPriority w:val="2"/>
    <w:qFormat/>
    <w:rsid w:val="00C102D2"/>
    <w:pPr>
      <w:keepNext/>
      <w:keepLines/>
      <w:numPr>
        <w:ilvl w:val="1"/>
        <w:numId w:val="41"/>
      </w:numPr>
      <w:spacing w:before="120" w:after="120" w:line="276" w:lineRule="auto"/>
      <w:ind w:left="414" w:hanging="357"/>
      <w:jc w:val="both"/>
      <w:outlineLvl w:val="1"/>
    </w:pPr>
    <w:rPr>
      <w:rFonts w:ascii="Verdana" w:hAnsi="Verdana" w:eastAsiaTheme="majorEastAsia" w:cstheme="majorBidi"/>
      <w:b/>
      <w:bCs/>
      <w:caps/>
      <w:color w:val="0070C0"/>
      <w:szCs w:val="20"/>
      <w:lang w:val="fr-CH"/>
    </w:rPr>
  </w:style>
  <w:style w:type="paragraph" w:styleId="Titre3">
    <w:name w:val="heading 3"/>
    <w:basedOn w:val="Normal"/>
    <w:next w:val="Normal"/>
    <w:link w:val="Titre3Car"/>
    <w:autoRedefine/>
    <w:uiPriority w:val="2"/>
    <w:qFormat/>
    <w:rsid w:val="005C1669"/>
    <w:pPr>
      <w:keepNext/>
      <w:keepLines/>
      <w:numPr>
        <w:ilvl w:val="2"/>
        <w:numId w:val="43"/>
      </w:numPr>
      <w:spacing w:before="120" w:after="120" w:line="276" w:lineRule="auto"/>
      <w:jc w:val="both"/>
      <w:outlineLvl w:val="2"/>
    </w:pPr>
    <w:rPr>
      <w:rFonts w:ascii="Verdana" w:hAnsi="Verdana" w:eastAsiaTheme="majorEastAsia" w:cstheme="majorBidi"/>
      <w:b/>
      <w:bCs/>
      <w:caps/>
      <w:color w:val="0070C0"/>
      <w:sz w:val="22"/>
      <w:lang w:val="fr-CH"/>
    </w:rPr>
  </w:style>
  <w:style w:type="paragraph" w:styleId="Titre4">
    <w:name w:val="heading 4"/>
    <w:basedOn w:val="Normal"/>
    <w:next w:val="Normal"/>
    <w:link w:val="Titre4Car"/>
    <w:uiPriority w:val="2"/>
    <w:unhideWhenUsed/>
    <w:qFormat/>
    <w:rsid w:val="00E66627"/>
    <w:pPr>
      <w:keepNext/>
      <w:keepLines/>
      <w:numPr>
        <w:ilvl w:val="3"/>
        <w:numId w:val="39"/>
      </w:numPr>
      <w:spacing w:before="200"/>
      <w:outlineLvl w:val="3"/>
    </w:pPr>
    <w:rPr>
      <w:rFonts w:asciiTheme="majorHAnsi" w:hAnsiTheme="majorHAnsi" w:eastAsiaTheme="majorEastAsia" w:cstheme="majorBidi"/>
      <w:b/>
      <w:bCs/>
      <w:i/>
      <w:iCs/>
      <w:color w:val="662B64" w:themeColor="accent1"/>
    </w:rPr>
  </w:style>
  <w:style w:type="paragraph" w:styleId="Titre5">
    <w:name w:val="heading 5"/>
    <w:basedOn w:val="Normal"/>
    <w:next w:val="Normal"/>
    <w:link w:val="Titre5Car"/>
    <w:uiPriority w:val="2"/>
    <w:unhideWhenUsed/>
    <w:qFormat/>
    <w:rsid w:val="00E66627"/>
    <w:pPr>
      <w:keepNext/>
      <w:keepLines/>
      <w:numPr>
        <w:ilvl w:val="4"/>
        <w:numId w:val="39"/>
      </w:numPr>
      <w:spacing w:before="200"/>
      <w:outlineLvl w:val="4"/>
    </w:pPr>
    <w:rPr>
      <w:rFonts w:asciiTheme="majorHAnsi" w:hAnsiTheme="majorHAnsi" w:eastAsiaTheme="majorEastAsia" w:cstheme="majorBidi"/>
      <w:color w:val="321531" w:themeColor="accent1" w:themeShade="7F"/>
    </w:rPr>
  </w:style>
  <w:style w:type="paragraph" w:styleId="Titre6">
    <w:name w:val="heading 6"/>
    <w:basedOn w:val="Normal"/>
    <w:next w:val="Normal"/>
    <w:link w:val="Titre6Car"/>
    <w:uiPriority w:val="2"/>
    <w:unhideWhenUsed/>
    <w:qFormat/>
    <w:rsid w:val="00E66627"/>
    <w:pPr>
      <w:keepNext/>
      <w:keepLines/>
      <w:numPr>
        <w:ilvl w:val="5"/>
        <w:numId w:val="39"/>
      </w:numPr>
      <w:spacing w:before="200"/>
      <w:outlineLvl w:val="5"/>
    </w:pPr>
    <w:rPr>
      <w:rFonts w:asciiTheme="majorHAnsi" w:hAnsiTheme="majorHAnsi" w:eastAsiaTheme="majorEastAsia" w:cstheme="majorBidi"/>
      <w:i/>
      <w:iCs/>
      <w:color w:val="321531" w:themeColor="accent1" w:themeShade="7F"/>
    </w:rPr>
  </w:style>
  <w:style w:type="paragraph" w:styleId="Titre7">
    <w:name w:val="heading 7"/>
    <w:basedOn w:val="Normal"/>
    <w:next w:val="Normal"/>
    <w:link w:val="Titre7Car"/>
    <w:uiPriority w:val="2"/>
    <w:unhideWhenUsed/>
    <w:qFormat/>
    <w:rsid w:val="00E66627"/>
    <w:pPr>
      <w:keepNext/>
      <w:keepLines/>
      <w:numPr>
        <w:ilvl w:val="6"/>
        <w:numId w:val="39"/>
      </w:numPr>
      <w:spacing w:before="200"/>
      <w:outlineLvl w:val="6"/>
    </w:pPr>
    <w:rPr>
      <w:rFonts w:asciiTheme="majorHAnsi" w:hAnsiTheme="majorHAnsi" w:eastAsiaTheme="majorEastAsia" w:cstheme="majorBidi"/>
      <w:i/>
      <w:iCs/>
      <w:color w:val="404040" w:themeColor="text1" w:themeTint="BF"/>
    </w:rPr>
  </w:style>
  <w:style w:type="paragraph" w:styleId="Titre8">
    <w:name w:val="heading 8"/>
    <w:basedOn w:val="Normal"/>
    <w:next w:val="Normal"/>
    <w:link w:val="Titre8Car"/>
    <w:uiPriority w:val="2"/>
    <w:unhideWhenUsed/>
    <w:qFormat/>
    <w:rsid w:val="00E66627"/>
    <w:pPr>
      <w:keepNext/>
      <w:keepLines/>
      <w:numPr>
        <w:ilvl w:val="7"/>
        <w:numId w:val="39"/>
      </w:numPr>
      <w:spacing w:before="200"/>
      <w:outlineLvl w:val="7"/>
    </w:pPr>
    <w:rPr>
      <w:rFonts w:asciiTheme="majorHAnsi" w:hAnsiTheme="majorHAnsi" w:eastAsiaTheme="majorEastAsia" w:cstheme="majorBidi"/>
      <w:color w:val="404040" w:themeColor="text1" w:themeTint="BF"/>
      <w:szCs w:val="20"/>
    </w:rPr>
  </w:style>
  <w:style w:type="paragraph" w:styleId="Titre9">
    <w:name w:val="heading 9"/>
    <w:basedOn w:val="Normal"/>
    <w:next w:val="Normal"/>
    <w:link w:val="Titre9Car"/>
    <w:uiPriority w:val="2"/>
    <w:unhideWhenUsed/>
    <w:qFormat/>
    <w:rsid w:val="00E66627"/>
    <w:pPr>
      <w:keepNext/>
      <w:keepLines/>
      <w:numPr>
        <w:ilvl w:val="8"/>
        <w:numId w:val="39"/>
      </w:numPr>
      <w:spacing w:before="200"/>
      <w:outlineLvl w:val="8"/>
    </w:pPr>
    <w:rPr>
      <w:rFonts w:asciiTheme="majorHAnsi" w:hAnsiTheme="majorHAnsi" w:eastAsiaTheme="majorEastAsia" w:cstheme="majorBidi"/>
      <w:i/>
      <w:iCs/>
      <w:color w:val="404040" w:themeColor="text1" w:themeTint="BF"/>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66627"/>
    <w:pPr>
      <w:tabs>
        <w:tab w:val="center" w:pos="4536"/>
        <w:tab w:val="right" w:pos="9072"/>
      </w:tabs>
      <w:spacing w:line="240" w:lineRule="auto"/>
    </w:pPr>
  </w:style>
  <w:style w:type="character" w:styleId="En-tteCar" w:customStyle="1">
    <w:name w:val="En-tête Car"/>
    <w:basedOn w:val="Policepardfaut"/>
    <w:link w:val="En-tte"/>
    <w:uiPriority w:val="99"/>
    <w:rsid w:val="00E66627"/>
    <w:rPr>
      <w:sz w:val="20"/>
    </w:rPr>
  </w:style>
  <w:style w:type="paragraph" w:styleId="Pieddepage">
    <w:name w:val="footer"/>
    <w:basedOn w:val="Normal"/>
    <w:link w:val="PieddepageCar"/>
    <w:uiPriority w:val="99"/>
    <w:unhideWhenUsed/>
    <w:rsid w:val="00E66627"/>
    <w:pPr>
      <w:tabs>
        <w:tab w:val="right" w:pos="9072"/>
      </w:tabs>
      <w:spacing w:line="240" w:lineRule="auto"/>
    </w:pPr>
    <w:rPr>
      <w:rFonts w:asciiTheme="majorHAnsi" w:hAnsiTheme="majorHAnsi" w:cstheme="majorHAnsi"/>
      <w:sz w:val="14"/>
      <w:szCs w:val="14"/>
    </w:rPr>
  </w:style>
  <w:style w:type="character" w:styleId="PieddepageCar" w:customStyle="1">
    <w:name w:val="Pied de page Car"/>
    <w:basedOn w:val="Policepardfaut"/>
    <w:link w:val="Pieddepage"/>
    <w:uiPriority w:val="99"/>
    <w:rsid w:val="00E66627"/>
    <w:rPr>
      <w:rFonts w:asciiTheme="majorHAnsi" w:hAnsiTheme="majorHAnsi" w:cstheme="majorHAnsi"/>
      <w:sz w:val="14"/>
      <w:szCs w:val="14"/>
    </w:rPr>
  </w:style>
  <w:style w:type="paragraph" w:styleId="Titre">
    <w:name w:val="Title"/>
    <w:basedOn w:val="Normal"/>
    <w:link w:val="TitreCar"/>
    <w:uiPriority w:val="8"/>
    <w:qFormat/>
    <w:rsid w:val="00E66627"/>
    <w:pPr>
      <w:spacing w:line="480" w:lineRule="exact"/>
    </w:pPr>
    <w:rPr>
      <w:rFonts w:asciiTheme="majorHAnsi" w:hAnsiTheme="majorHAnsi" w:cstheme="majorHAnsi"/>
      <w:caps/>
      <w:color w:val="6DC1FF" w:themeColor="background2"/>
      <w:sz w:val="44"/>
      <w:szCs w:val="44"/>
      <w:lang w:val="de-CH"/>
    </w:rPr>
  </w:style>
  <w:style w:type="character" w:styleId="TitreCar" w:customStyle="1">
    <w:name w:val="Titre Car"/>
    <w:basedOn w:val="Policepardfaut"/>
    <w:link w:val="Titre"/>
    <w:uiPriority w:val="8"/>
    <w:rsid w:val="00E66627"/>
    <w:rPr>
      <w:rFonts w:asciiTheme="majorHAnsi" w:hAnsiTheme="majorHAnsi" w:cstheme="majorHAnsi"/>
      <w:caps/>
      <w:color w:val="6DC1FF" w:themeColor="background2"/>
      <w:sz w:val="44"/>
      <w:szCs w:val="44"/>
      <w:lang w:val="de-CH"/>
    </w:rPr>
  </w:style>
  <w:style w:type="paragraph" w:styleId="Sous-titre">
    <w:name w:val="Subtitle"/>
    <w:basedOn w:val="Normal"/>
    <w:link w:val="Sous-titreCar"/>
    <w:uiPriority w:val="8"/>
    <w:qFormat/>
    <w:rsid w:val="00E66627"/>
    <w:pPr>
      <w:spacing w:line="480" w:lineRule="exact"/>
    </w:pPr>
    <w:rPr>
      <w:rFonts w:asciiTheme="majorHAnsi" w:hAnsiTheme="majorHAnsi" w:cstheme="majorHAnsi"/>
      <w:caps/>
      <w:color w:val="638AAB" w:themeColor="text2"/>
      <w:sz w:val="44"/>
      <w:szCs w:val="44"/>
      <w:lang w:val="de-CH"/>
    </w:rPr>
  </w:style>
  <w:style w:type="character" w:styleId="Sous-titreCar" w:customStyle="1">
    <w:name w:val="Sous-titre Car"/>
    <w:basedOn w:val="Policepardfaut"/>
    <w:link w:val="Sous-titre"/>
    <w:uiPriority w:val="8"/>
    <w:rsid w:val="00E66627"/>
    <w:rPr>
      <w:rFonts w:asciiTheme="majorHAnsi" w:hAnsiTheme="majorHAnsi" w:cstheme="majorHAnsi"/>
      <w:caps/>
      <w:color w:val="638AAB" w:themeColor="text2"/>
      <w:sz w:val="44"/>
      <w:szCs w:val="44"/>
      <w:lang w:val="de-CH"/>
    </w:rPr>
  </w:style>
  <w:style w:type="table" w:styleId="Grilledutableau">
    <w:name w:val="Table Grid"/>
    <w:basedOn w:val="TableauNormal"/>
    <w:uiPriority w:val="39"/>
    <w:rsid w:val="00E66627"/>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1Car" w:customStyle="1">
    <w:name w:val="Titre 1 Car"/>
    <w:basedOn w:val="Policepardfaut"/>
    <w:link w:val="Titre1"/>
    <w:uiPriority w:val="2"/>
    <w:rsid w:val="002E7C46"/>
    <w:rPr>
      <w:rFonts w:ascii="Verdana" w:hAnsi="Verdana" w:cstheme="majorHAnsi"/>
      <w:b/>
      <w:caps/>
      <w:color w:val="0070C0"/>
      <w:sz w:val="20"/>
      <w:szCs w:val="20"/>
      <w:lang w:val="fr-CH"/>
    </w:rPr>
  </w:style>
  <w:style w:type="character" w:styleId="Titre2Car" w:customStyle="1">
    <w:name w:val="Titre 2 Car"/>
    <w:basedOn w:val="Policepardfaut"/>
    <w:link w:val="Titre2"/>
    <w:uiPriority w:val="2"/>
    <w:rsid w:val="00C102D2"/>
    <w:rPr>
      <w:rFonts w:ascii="Verdana" w:hAnsi="Verdana" w:eastAsiaTheme="majorEastAsia" w:cstheme="majorBidi"/>
      <w:b/>
      <w:bCs/>
      <w:caps/>
      <w:color w:val="0070C0"/>
      <w:sz w:val="20"/>
      <w:szCs w:val="20"/>
      <w:lang w:val="fr-CH"/>
    </w:rPr>
  </w:style>
  <w:style w:type="character" w:styleId="Titre3Car" w:customStyle="1">
    <w:name w:val="Titre 3 Car"/>
    <w:basedOn w:val="Policepardfaut"/>
    <w:link w:val="Titre3"/>
    <w:uiPriority w:val="2"/>
    <w:rsid w:val="005C1669"/>
    <w:rPr>
      <w:rFonts w:ascii="Verdana" w:hAnsi="Verdana" w:eastAsiaTheme="majorEastAsia" w:cstheme="majorBidi"/>
      <w:b/>
      <w:bCs/>
      <w:caps/>
      <w:color w:val="0070C0"/>
      <w:lang w:val="fr-CH"/>
    </w:rPr>
  </w:style>
  <w:style w:type="character" w:styleId="Titre4Car" w:customStyle="1">
    <w:name w:val="Titre 4 Car"/>
    <w:basedOn w:val="Policepardfaut"/>
    <w:link w:val="Titre4"/>
    <w:uiPriority w:val="4"/>
    <w:rsid w:val="00E66627"/>
    <w:rPr>
      <w:rFonts w:asciiTheme="majorHAnsi" w:hAnsiTheme="majorHAnsi" w:eastAsiaTheme="majorEastAsia" w:cstheme="majorBidi"/>
      <w:b/>
      <w:bCs/>
      <w:i/>
      <w:iCs/>
      <w:color w:val="662B64" w:themeColor="accent1"/>
      <w:sz w:val="20"/>
    </w:rPr>
  </w:style>
  <w:style w:type="character" w:styleId="Titre5Car" w:customStyle="1">
    <w:name w:val="Titre 5 Car"/>
    <w:basedOn w:val="Policepardfaut"/>
    <w:link w:val="Titre5"/>
    <w:uiPriority w:val="4"/>
    <w:rsid w:val="00E66627"/>
    <w:rPr>
      <w:rFonts w:asciiTheme="majorHAnsi" w:hAnsiTheme="majorHAnsi" w:eastAsiaTheme="majorEastAsia" w:cstheme="majorBidi"/>
      <w:color w:val="321531" w:themeColor="accent1" w:themeShade="7F"/>
      <w:sz w:val="20"/>
    </w:rPr>
  </w:style>
  <w:style w:type="character" w:styleId="Titre6Car" w:customStyle="1">
    <w:name w:val="Titre 6 Car"/>
    <w:basedOn w:val="Policepardfaut"/>
    <w:link w:val="Titre6"/>
    <w:uiPriority w:val="4"/>
    <w:rsid w:val="00E66627"/>
    <w:rPr>
      <w:rFonts w:asciiTheme="majorHAnsi" w:hAnsiTheme="majorHAnsi" w:eastAsiaTheme="majorEastAsia" w:cstheme="majorBidi"/>
      <w:i/>
      <w:iCs/>
      <w:color w:val="321531" w:themeColor="accent1" w:themeShade="7F"/>
      <w:sz w:val="20"/>
    </w:rPr>
  </w:style>
  <w:style w:type="character" w:styleId="Titre7Car" w:customStyle="1">
    <w:name w:val="Titre 7 Car"/>
    <w:basedOn w:val="Policepardfaut"/>
    <w:link w:val="Titre7"/>
    <w:uiPriority w:val="4"/>
    <w:rsid w:val="00E66627"/>
    <w:rPr>
      <w:rFonts w:asciiTheme="majorHAnsi" w:hAnsiTheme="majorHAnsi" w:eastAsiaTheme="majorEastAsia" w:cstheme="majorBidi"/>
      <w:i/>
      <w:iCs/>
      <w:color w:val="404040" w:themeColor="text1" w:themeTint="BF"/>
      <w:sz w:val="20"/>
    </w:rPr>
  </w:style>
  <w:style w:type="character" w:styleId="Titre8Car" w:customStyle="1">
    <w:name w:val="Titre 8 Car"/>
    <w:basedOn w:val="Policepardfaut"/>
    <w:link w:val="Titre8"/>
    <w:uiPriority w:val="4"/>
    <w:rsid w:val="00E66627"/>
    <w:rPr>
      <w:rFonts w:asciiTheme="majorHAnsi" w:hAnsiTheme="majorHAnsi" w:eastAsiaTheme="majorEastAsia" w:cstheme="majorBidi"/>
      <w:color w:val="404040" w:themeColor="text1" w:themeTint="BF"/>
      <w:sz w:val="20"/>
      <w:szCs w:val="20"/>
    </w:rPr>
  </w:style>
  <w:style w:type="character" w:styleId="Titre9Car" w:customStyle="1">
    <w:name w:val="Titre 9 Car"/>
    <w:basedOn w:val="Policepardfaut"/>
    <w:link w:val="Titre9"/>
    <w:uiPriority w:val="4"/>
    <w:rsid w:val="00E66627"/>
    <w:rPr>
      <w:rFonts w:asciiTheme="majorHAnsi" w:hAnsiTheme="majorHAnsi" w:eastAsiaTheme="majorEastAsia" w:cstheme="majorBidi"/>
      <w:i/>
      <w:iCs/>
      <w:color w:val="404040" w:themeColor="text1" w:themeTint="BF"/>
      <w:sz w:val="20"/>
      <w:szCs w:val="20"/>
    </w:rPr>
  </w:style>
  <w:style w:type="paragraph" w:styleId="Flietext" w:customStyle="1">
    <w:name w:val="Fließtext"/>
    <w:basedOn w:val="Normal"/>
    <w:link w:val="FlietextZchn"/>
    <w:qFormat/>
    <w:rsid w:val="006E42B2"/>
  </w:style>
  <w:style w:type="paragraph" w:styleId="Bullet" w:customStyle="1">
    <w:name w:val="Bullet"/>
    <w:basedOn w:val="Normal"/>
    <w:link w:val="BulletZchn"/>
    <w:uiPriority w:val="2"/>
    <w:qFormat/>
    <w:rsid w:val="00E66627"/>
    <w:pPr>
      <w:numPr>
        <w:numId w:val="7"/>
      </w:numPr>
    </w:pPr>
  </w:style>
  <w:style w:type="character" w:styleId="Textedelespacerserv">
    <w:name w:val="Placeholder Text"/>
    <w:basedOn w:val="Policepardfaut"/>
    <w:uiPriority w:val="99"/>
    <w:semiHidden/>
    <w:rsid w:val="00E66627"/>
    <w:rPr>
      <w:color w:val="808080"/>
    </w:rPr>
  </w:style>
  <w:style w:type="paragraph" w:styleId="Textedebulles">
    <w:name w:val="Balloon Text"/>
    <w:basedOn w:val="Normal"/>
    <w:link w:val="TextedebullesCar"/>
    <w:uiPriority w:val="99"/>
    <w:semiHidden/>
    <w:unhideWhenUsed/>
    <w:rsid w:val="00E66627"/>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E66627"/>
    <w:rPr>
      <w:rFonts w:ascii="Tahoma" w:hAnsi="Tahoma" w:cs="Tahoma"/>
      <w:sz w:val="16"/>
      <w:szCs w:val="16"/>
    </w:rPr>
  </w:style>
  <w:style w:type="paragraph" w:styleId="Versalien" w:customStyle="1">
    <w:name w:val="Versalien"/>
    <w:basedOn w:val="Normal"/>
    <w:uiPriority w:val="6"/>
    <w:unhideWhenUsed/>
    <w:rsid w:val="00E66627"/>
    <w:rPr>
      <w:caps/>
    </w:rPr>
  </w:style>
  <w:style w:type="paragraph" w:styleId="StandardFormulare" w:customStyle="1">
    <w:name w:val="Standard Formulare"/>
    <w:basedOn w:val="Normal"/>
    <w:uiPriority w:val="6"/>
    <w:qFormat/>
    <w:rsid w:val="00E66627"/>
  </w:style>
  <w:style w:type="paragraph" w:styleId="TM9">
    <w:name w:val="toc 9"/>
    <w:basedOn w:val="Normal"/>
    <w:next w:val="Normal"/>
    <w:autoRedefine/>
    <w:uiPriority w:val="39"/>
    <w:semiHidden/>
    <w:rsid w:val="00E66627"/>
    <w:pPr>
      <w:spacing w:line="240" w:lineRule="auto"/>
      <w:ind w:left="1600"/>
    </w:pPr>
    <w:rPr>
      <w:rFonts w:eastAsia="Times New Roman" w:cs="Times New Roman"/>
      <w:szCs w:val="24"/>
      <w:lang w:val="de-CH" w:eastAsia="de-DE"/>
    </w:rPr>
  </w:style>
  <w:style w:type="paragraph" w:styleId="Zwischenberschrift" w:customStyle="1">
    <w:name w:val="Zwischenüberschrift"/>
    <w:basedOn w:val="Normal"/>
    <w:link w:val="ZwischenberschriftZchn"/>
    <w:uiPriority w:val="8"/>
    <w:unhideWhenUsed/>
    <w:qFormat/>
    <w:rsid w:val="00E66627"/>
    <w:rPr>
      <w:rFonts w:asciiTheme="majorHAnsi" w:hAnsiTheme="majorHAnsi" w:cstheme="majorHAnsi"/>
      <w:b/>
      <w:caps/>
      <w:color w:val="808080"/>
      <w:spacing w:val="6"/>
      <w:sz w:val="18"/>
      <w:szCs w:val="18"/>
      <w:lang w:val="de-CH"/>
    </w:rPr>
  </w:style>
  <w:style w:type="paragraph" w:styleId="DeckblattTitel" w:customStyle="1">
    <w:name w:val="Deckblatt Titel"/>
    <w:basedOn w:val="Titre"/>
    <w:uiPriority w:val="8"/>
    <w:qFormat/>
    <w:rsid w:val="00E66627"/>
    <w:pPr>
      <w:spacing w:line="600" w:lineRule="exact"/>
    </w:pPr>
    <w:rPr>
      <w:sz w:val="56"/>
    </w:rPr>
  </w:style>
  <w:style w:type="paragraph" w:styleId="DeckblattUntertitel" w:customStyle="1">
    <w:name w:val="Deckblatt Untertitel"/>
    <w:basedOn w:val="Sous-titre"/>
    <w:uiPriority w:val="8"/>
    <w:qFormat/>
    <w:rsid w:val="00E66627"/>
    <w:pPr>
      <w:spacing w:line="600" w:lineRule="exact"/>
    </w:pPr>
    <w:rPr>
      <w:color w:val="5D8BA2"/>
      <w:sz w:val="56"/>
    </w:rPr>
  </w:style>
  <w:style w:type="paragraph" w:styleId="TM1">
    <w:name w:val="toc 1"/>
    <w:basedOn w:val="Normal"/>
    <w:next w:val="Normal"/>
    <w:link w:val="TM1Car"/>
    <w:autoRedefine/>
    <w:uiPriority w:val="39"/>
    <w:unhideWhenUsed/>
    <w:rsid w:val="0095538E"/>
    <w:pPr>
      <w:pBdr>
        <w:top w:val="single" w:color="638AAB" w:themeColor="text2" w:sz="4" w:space="2"/>
        <w:bottom w:val="single" w:color="638AAB" w:themeColor="text2" w:sz="4" w:space="4"/>
        <w:between w:val="single" w:color="638AAB" w:themeColor="text2" w:sz="4" w:space="2"/>
      </w:pBdr>
      <w:tabs>
        <w:tab w:val="left" w:pos="567"/>
        <w:tab w:val="right" w:pos="9060"/>
      </w:tabs>
      <w:spacing w:after="40"/>
      <w:ind w:left="992" w:hanging="992"/>
    </w:pPr>
    <w:rPr>
      <w:rFonts w:asciiTheme="majorHAnsi" w:hAnsiTheme="majorHAnsi" w:cstheme="majorHAnsi"/>
      <w:b/>
      <w:caps/>
      <w:noProof/>
      <w:color w:val="638AAB" w:themeColor="text2"/>
      <w:sz w:val="18"/>
      <w:szCs w:val="18"/>
      <w:lang w:val="de-CH"/>
    </w:rPr>
  </w:style>
  <w:style w:type="paragraph" w:styleId="TM2">
    <w:name w:val="toc 2"/>
    <w:basedOn w:val="Normal"/>
    <w:next w:val="Normal"/>
    <w:autoRedefine/>
    <w:uiPriority w:val="39"/>
    <w:unhideWhenUsed/>
    <w:rsid w:val="00AF2D73"/>
    <w:pPr>
      <w:pBdr>
        <w:top w:val="single" w:color="638AAB" w:themeColor="text2" w:sz="4" w:space="2"/>
        <w:bottom w:val="single" w:color="638AAB" w:themeColor="text2" w:sz="4" w:space="4"/>
        <w:between w:val="single" w:color="638AAB" w:themeColor="text2" w:sz="4" w:space="2"/>
      </w:pBdr>
      <w:tabs>
        <w:tab w:val="left" w:pos="993"/>
        <w:tab w:val="right" w:pos="9060"/>
      </w:tabs>
      <w:spacing w:after="40"/>
      <w:ind w:left="992" w:hanging="283"/>
    </w:pPr>
    <w:rPr>
      <w:rFonts w:asciiTheme="majorHAnsi" w:hAnsiTheme="majorHAnsi" w:cstheme="majorHAnsi"/>
      <w:b/>
      <w:caps/>
      <w:noProof/>
      <w:color w:val="808080" w:themeColor="background1" w:themeShade="80"/>
      <w:sz w:val="18"/>
      <w:szCs w:val="18"/>
      <w:lang w:val="de-CH"/>
    </w:rPr>
  </w:style>
  <w:style w:type="paragraph" w:styleId="TM3">
    <w:name w:val="toc 3"/>
    <w:basedOn w:val="Normal"/>
    <w:next w:val="Normal"/>
    <w:autoRedefine/>
    <w:uiPriority w:val="39"/>
    <w:unhideWhenUsed/>
    <w:rsid w:val="00542728"/>
    <w:pPr>
      <w:pBdr>
        <w:top w:val="single" w:color="638AAB" w:themeColor="text2" w:sz="4" w:space="2"/>
        <w:bottom w:val="single" w:color="638AAB" w:themeColor="text2" w:sz="4" w:space="4"/>
        <w:between w:val="single" w:color="638AAB" w:themeColor="text2" w:sz="4" w:space="2"/>
      </w:pBdr>
      <w:tabs>
        <w:tab w:val="left" w:pos="993"/>
        <w:tab w:val="right" w:pos="9060"/>
      </w:tabs>
      <w:spacing w:after="40"/>
      <w:ind w:left="992" w:hanging="992"/>
    </w:pPr>
    <w:rPr>
      <w:rFonts w:asciiTheme="majorHAnsi" w:hAnsiTheme="majorHAnsi" w:cstheme="majorHAnsi"/>
      <w:noProof/>
      <w:color w:val="808080" w:themeColor="background1" w:themeShade="80"/>
      <w:sz w:val="18"/>
      <w:szCs w:val="18"/>
      <w:lang w:val="de-CH"/>
    </w:rPr>
  </w:style>
  <w:style w:type="character" w:styleId="Lienhypertexte">
    <w:name w:val="Hyperlink"/>
    <w:basedOn w:val="Policepardfaut"/>
    <w:uiPriority w:val="99"/>
    <w:unhideWhenUsed/>
    <w:rsid w:val="00E66627"/>
    <w:rPr>
      <w:color w:val="0070C0" w:themeColor="hyperlink"/>
      <w:u w:val="single"/>
    </w:rPr>
  </w:style>
  <w:style w:type="paragraph" w:styleId="Sansinterligne">
    <w:name w:val="No Spacing"/>
    <w:uiPriority w:val="13"/>
    <w:rsid w:val="00E66627"/>
    <w:pPr>
      <w:spacing w:line="240" w:lineRule="auto"/>
    </w:pPr>
    <w:rPr>
      <w:rFonts w:ascii="Arial" w:hAnsi="Arial" w:cs="Times New Roman"/>
      <w:szCs w:val="24"/>
      <w:lang w:val="de-CH" w:eastAsia="de-DE"/>
    </w:rPr>
  </w:style>
  <w:style w:type="table" w:styleId="Kessler" w:customStyle="1">
    <w:name w:val="Kessler"/>
    <w:basedOn w:val="TableauNormal"/>
    <w:uiPriority w:val="99"/>
    <w:rsid w:val="00E66627"/>
    <w:pPr>
      <w:spacing w:line="240" w:lineRule="auto"/>
    </w:pPr>
    <w:rPr>
      <w:rFonts w:ascii="Arial" w:hAnsi="Arial"/>
      <w:sz w:val="16"/>
    </w:rPr>
    <w:tblPr>
      <w:tblInd w:w="113" w:type="dxa"/>
      <w:tblBorders>
        <w:bottom w:val="single" w:color="638AAB" w:themeColor="text2" w:sz="4" w:space="0"/>
        <w:insideH w:val="single" w:color="638AAB" w:themeColor="text2" w:sz="4" w:space="0"/>
      </w:tblBorders>
      <w:tblCellMar>
        <w:top w:w="113" w:type="dxa"/>
        <w:bottom w:w="113" w:type="dxa"/>
      </w:tblCellMar>
    </w:tblPr>
    <w:tcPr>
      <w:shd w:val="clear" w:color="auto" w:fill="auto"/>
    </w:tcPr>
    <w:tblStylePr w:type="firstRow">
      <w:rPr>
        <w:rFonts w:asciiTheme="majorHAnsi" w:hAnsiTheme="majorHAnsi"/>
        <w:b/>
        <w:color w:val="FFFFFF" w:themeColor="background1"/>
        <w:sz w:val="16"/>
      </w:rPr>
      <w:tblPr/>
      <w:tcPr>
        <w:tcBorders>
          <w:top w:val="single" w:color="FFFFFF" w:themeColor="background1" w:sz="4" w:space="0"/>
          <w:left w:val="nil"/>
          <w:right w:val="nil"/>
          <w:insideV w:val="single" w:color="FFFFFF" w:themeColor="background1" w:sz="4" w:space="0"/>
        </w:tcBorders>
        <w:shd w:val="clear" w:color="auto" w:fill="6E6E6E" w:themeFill="accent6"/>
      </w:tcPr>
    </w:tblStylePr>
    <w:tblStylePr w:type="lastRow">
      <w:rPr>
        <w:rFonts w:ascii="Arial" w:hAnsi="Arial"/>
        <w:b/>
        <w:sz w:val="16"/>
      </w:rPr>
    </w:tblStylePr>
    <w:tblStylePr w:type="lastCol">
      <w:tblPr/>
      <w:tcPr>
        <w:shd w:val="clear" w:color="auto" w:fill="E2E2E2" w:themeFill="accent6" w:themeFillTint="33"/>
      </w:tcPr>
    </w:tblStylePr>
  </w:style>
  <w:style w:type="paragraph" w:styleId="TM4">
    <w:name w:val="toc 4"/>
    <w:basedOn w:val="Normal"/>
    <w:next w:val="Normal"/>
    <w:autoRedefine/>
    <w:uiPriority w:val="39"/>
    <w:unhideWhenUsed/>
    <w:rsid w:val="00E66627"/>
    <w:pPr>
      <w:ind w:left="600"/>
    </w:pPr>
  </w:style>
  <w:style w:type="paragraph" w:styleId="TM5">
    <w:name w:val="toc 5"/>
    <w:basedOn w:val="Normal"/>
    <w:next w:val="Normal"/>
    <w:autoRedefine/>
    <w:uiPriority w:val="39"/>
    <w:unhideWhenUsed/>
    <w:rsid w:val="00E66627"/>
    <w:pPr>
      <w:ind w:left="800"/>
    </w:pPr>
  </w:style>
  <w:style w:type="paragraph" w:styleId="TM6">
    <w:name w:val="toc 6"/>
    <w:basedOn w:val="Normal"/>
    <w:next w:val="Normal"/>
    <w:autoRedefine/>
    <w:uiPriority w:val="39"/>
    <w:unhideWhenUsed/>
    <w:rsid w:val="00E66627"/>
    <w:pPr>
      <w:ind w:left="1000"/>
    </w:pPr>
  </w:style>
  <w:style w:type="paragraph" w:styleId="TM7">
    <w:name w:val="toc 7"/>
    <w:basedOn w:val="Normal"/>
    <w:next w:val="Normal"/>
    <w:autoRedefine/>
    <w:uiPriority w:val="39"/>
    <w:unhideWhenUsed/>
    <w:rsid w:val="00E66627"/>
    <w:pPr>
      <w:ind w:left="1200"/>
    </w:pPr>
  </w:style>
  <w:style w:type="paragraph" w:styleId="TM8">
    <w:name w:val="toc 8"/>
    <w:basedOn w:val="Normal"/>
    <w:next w:val="Normal"/>
    <w:autoRedefine/>
    <w:uiPriority w:val="39"/>
    <w:unhideWhenUsed/>
    <w:rsid w:val="00E66627"/>
    <w:pPr>
      <w:ind w:left="1400"/>
    </w:pPr>
  </w:style>
  <w:style w:type="paragraph" w:styleId="Tabellenkopf" w:customStyle="1">
    <w:name w:val="Tabellenkopf"/>
    <w:basedOn w:val="Normal"/>
    <w:uiPriority w:val="10"/>
    <w:qFormat/>
    <w:rsid w:val="0020765A"/>
    <w:rPr>
      <w:rFonts w:asciiTheme="majorHAnsi" w:hAnsiTheme="majorHAnsi"/>
      <w:b/>
      <w:caps/>
      <w:color w:val="FFFFFF" w:themeColor="background1"/>
      <w:sz w:val="18"/>
    </w:rPr>
  </w:style>
  <w:style w:type="character" w:styleId="Titredulivre">
    <w:name w:val="Book Title"/>
    <w:basedOn w:val="Policepardfaut"/>
    <w:uiPriority w:val="33"/>
    <w:rsid w:val="00E66627"/>
    <w:rPr>
      <w:b/>
      <w:bCs/>
      <w:smallCaps/>
      <w:color w:val="000000"/>
      <w:spacing w:val="5"/>
    </w:rPr>
  </w:style>
  <w:style w:type="paragraph" w:styleId="Einzug" w:customStyle="1">
    <w:name w:val="Einzug"/>
    <w:basedOn w:val="Normal"/>
    <w:uiPriority w:val="14"/>
    <w:rsid w:val="00E66627"/>
    <w:pPr>
      <w:tabs>
        <w:tab w:val="left" w:pos="737"/>
      </w:tabs>
      <w:ind w:left="737"/>
    </w:pPr>
  </w:style>
  <w:style w:type="character" w:styleId="lev">
    <w:name w:val="Strong"/>
    <w:basedOn w:val="Policepardfaut"/>
    <w:uiPriority w:val="22"/>
    <w:rsid w:val="00E66627"/>
    <w:rPr>
      <w:b/>
      <w:bCs/>
      <w:color w:val="000000"/>
    </w:rPr>
  </w:style>
  <w:style w:type="paragraph" w:styleId="Formularklein" w:customStyle="1">
    <w:name w:val="Formular klein"/>
    <w:basedOn w:val="Normal"/>
    <w:uiPriority w:val="14"/>
    <w:rsid w:val="00E66627"/>
    <w:rPr>
      <w:sz w:val="17"/>
    </w:rPr>
  </w:style>
  <w:style w:type="paragraph" w:styleId="Fussnote" w:customStyle="1">
    <w:name w:val="Fussnote"/>
    <w:basedOn w:val="Normal"/>
    <w:link w:val="FussnoteZchn"/>
    <w:uiPriority w:val="4"/>
    <w:rsid w:val="00E66627"/>
    <w:rPr>
      <w:sz w:val="16"/>
      <w:szCs w:val="16"/>
    </w:rPr>
  </w:style>
  <w:style w:type="character" w:styleId="FussnoteZchn" w:customStyle="1">
    <w:name w:val="Fussnote Zchn"/>
    <w:basedOn w:val="Policepardfaut"/>
    <w:link w:val="Fussnote"/>
    <w:uiPriority w:val="4"/>
    <w:rsid w:val="00E66627"/>
    <w:rPr>
      <w:sz w:val="16"/>
      <w:szCs w:val="16"/>
    </w:rPr>
  </w:style>
  <w:style w:type="paragraph" w:styleId="Notedebasdepage">
    <w:name w:val="footnote text"/>
    <w:basedOn w:val="Normal"/>
    <w:link w:val="NotedebasdepageCar"/>
    <w:uiPriority w:val="13"/>
    <w:unhideWhenUsed/>
    <w:rsid w:val="00E66627"/>
    <w:rPr>
      <w:sz w:val="12"/>
      <w:szCs w:val="20"/>
    </w:rPr>
  </w:style>
  <w:style w:type="character" w:styleId="NotedebasdepageCar" w:customStyle="1">
    <w:name w:val="Note de bas de page Car"/>
    <w:basedOn w:val="Policepardfaut"/>
    <w:link w:val="Notedebasdepage"/>
    <w:uiPriority w:val="13"/>
    <w:rsid w:val="00E66627"/>
    <w:rPr>
      <w:sz w:val="12"/>
      <w:szCs w:val="20"/>
    </w:rPr>
  </w:style>
  <w:style w:type="character" w:styleId="Appelnotedebasdep">
    <w:name w:val="footnote reference"/>
    <w:uiPriority w:val="13"/>
    <w:unhideWhenUsed/>
    <w:rsid w:val="00E66627"/>
    <w:rPr>
      <w:rFonts w:ascii="Arial" w:hAnsi="Arial"/>
      <w:vertAlign w:val="superscript"/>
    </w:rPr>
  </w:style>
  <w:style w:type="paragraph" w:styleId="Fusszeile" w:customStyle="1">
    <w:name w:val="Fusszeile"/>
    <w:aliases w:val="Quellenangaben"/>
    <w:basedOn w:val="Normal"/>
    <w:uiPriority w:val="13"/>
    <w:rsid w:val="00E66627"/>
    <w:rPr>
      <w:sz w:val="16"/>
    </w:rPr>
  </w:style>
  <w:style w:type="paragraph" w:styleId="Haupttitel" w:customStyle="1">
    <w:name w:val="Haupttitel"/>
    <w:basedOn w:val="Normal"/>
    <w:next w:val="Normal"/>
    <w:uiPriority w:val="8"/>
    <w:rsid w:val="00E66627"/>
    <w:rPr>
      <w:b/>
      <w:sz w:val="44"/>
    </w:rPr>
  </w:style>
  <w:style w:type="character" w:styleId="Accentuation">
    <w:name w:val="Emphasis"/>
    <w:uiPriority w:val="20"/>
    <w:unhideWhenUsed/>
    <w:rsid w:val="00E66627"/>
    <w:rPr>
      <w:i/>
      <w:iCs/>
    </w:rPr>
  </w:style>
  <w:style w:type="paragraph" w:styleId="En-ttedetabledesmatires">
    <w:name w:val="TOC Heading"/>
    <w:basedOn w:val="Titre1"/>
    <w:next w:val="Normal"/>
    <w:uiPriority w:val="39"/>
    <w:unhideWhenUsed/>
    <w:qFormat/>
    <w:rsid w:val="00E66627"/>
    <w:pPr>
      <w:keepLines/>
      <w:numPr>
        <w:numId w:val="0"/>
      </w:numPr>
      <w:spacing w:after="0"/>
      <w:outlineLvl w:val="9"/>
    </w:pPr>
    <w:rPr>
      <w:rFonts w:eastAsiaTheme="majorEastAsia" w:cstheme="majorBidi"/>
      <w:color w:val="4C204A" w:themeColor="accent1" w:themeShade="BF"/>
    </w:rPr>
  </w:style>
  <w:style w:type="character" w:styleId="Emphaseintense">
    <w:name w:val="Intense Emphasis"/>
    <w:uiPriority w:val="21"/>
    <w:unhideWhenUsed/>
    <w:rsid w:val="00E66627"/>
    <w:rPr>
      <w:b/>
      <w:bCs/>
      <w:i/>
      <w:iCs/>
      <w:color w:val="662B64" w:themeColor="accent1"/>
    </w:rPr>
  </w:style>
  <w:style w:type="character" w:styleId="Rfrenceintense">
    <w:name w:val="Intense Reference"/>
    <w:uiPriority w:val="32"/>
    <w:unhideWhenUsed/>
    <w:rsid w:val="00E66627"/>
    <w:rPr>
      <w:b/>
      <w:bCs/>
      <w:smallCaps/>
      <w:color w:val="C84818" w:themeColor="accent2"/>
      <w:spacing w:val="5"/>
      <w:u w:val="single"/>
    </w:rPr>
  </w:style>
  <w:style w:type="paragraph" w:styleId="Citationintense">
    <w:name w:val="Intense Quote"/>
    <w:basedOn w:val="Normal"/>
    <w:next w:val="Normal"/>
    <w:link w:val="CitationintenseCar"/>
    <w:uiPriority w:val="30"/>
    <w:unhideWhenUsed/>
    <w:rsid w:val="00E66627"/>
    <w:pPr>
      <w:pBdr>
        <w:bottom w:val="single" w:color="662B64" w:themeColor="accent1" w:sz="4" w:space="4"/>
      </w:pBdr>
      <w:spacing w:before="200" w:after="280"/>
      <w:ind w:left="936" w:right="936"/>
    </w:pPr>
    <w:rPr>
      <w:b/>
      <w:bCs/>
      <w:i/>
      <w:iCs/>
      <w:color w:val="662B64" w:themeColor="accent1"/>
    </w:rPr>
  </w:style>
  <w:style w:type="character" w:styleId="CitationintenseCar" w:customStyle="1">
    <w:name w:val="Citation intense Car"/>
    <w:basedOn w:val="Policepardfaut"/>
    <w:link w:val="Citationintense"/>
    <w:uiPriority w:val="30"/>
    <w:rsid w:val="00E66627"/>
    <w:rPr>
      <w:b/>
      <w:bCs/>
      <w:i/>
      <w:iCs/>
      <w:color w:val="662B64" w:themeColor="accent1"/>
      <w:sz w:val="20"/>
    </w:rPr>
  </w:style>
  <w:style w:type="paragraph" w:styleId="LinkGesellschaft" w:customStyle="1">
    <w:name w:val="Link_Gesellschaft"/>
    <w:basedOn w:val="Versalien"/>
    <w:uiPriority w:val="17"/>
    <w:rsid w:val="00E66627"/>
    <w:rPr>
      <w:lang w:val="de-CH"/>
    </w:rPr>
  </w:style>
  <w:style w:type="paragraph" w:styleId="LinkDatum" w:customStyle="1">
    <w:name w:val="LinkDatum"/>
    <w:basedOn w:val="Normal"/>
    <w:uiPriority w:val="17"/>
    <w:rsid w:val="00E66627"/>
  </w:style>
  <w:style w:type="paragraph" w:styleId="LinkKunde" w:customStyle="1">
    <w:name w:val="LinkKunde"/>
    <w:basedOn w:val="Sous-titre"/>
    <w:uiPriority w:val="17"/>
    <w:rsid w:val="00E66627"/>
  </w:style>
  <w:style w:type="paragraph" w:styleId="Paragraphedeliste">
    <w:name w:val="List Paragraph"/>
    <w:aliases w:val="Bullet Formulare"/>
    <w:basedOn w:val="Normal"/>
    <w:link w:val="ParagraphedelisteCar"/>
    <w:uiPriority w:val="34"/>
    <w:qFormat/>
    <w:rsid w:val="00E66627"/>
    <w:pPr>
      <w:ind w:left="708"/>
    </w:pPr>
  </w:style>
  <w:style w:type="character" w:styleId="Emphaseple">
    <w:name w:val="Subtle Emphasis"/>
    <w:uiPriority w:val="20"/>
    <w:unhideWhenUsed/>
    <w:rsid w:val="00E66627"/>
    <w:rPr>
      <w:i/>
      <w:iCs/>
      <w:color w:val="808080" w:themeColor="text1" w:themeTint="7F"/>
    </w:rPr>
  </w:style>
  <w:style w:type="character" w:styleId="Rfrenceple">
    <w:name w:val="Subtle Reference"/>
    <w:basedOn w:val="Policepardfaut"/>
    <w:uiPriority w:val="31"/>
    <w:unhideWhenUsed/>
    <w:rsid w:val="00E66627"/>
    <w:rPr>
      <w:smallCaps/>
      <w:color w:val="C84818" w:themeColor="accent2"/>
      <w:u w:val="single"/>
    </w:rPr>
  </w:style>
  <w:style w:type="paragraph" w:styleId="UntertitelFormulare" w:customStyle="1">
    <w:name w:val="Untertitel Formulare"/>
    <w:basedOn w:val="Normal"/>
    <w:next w:val="Normal"/>
    <w:uiPriority w:val="6"/>
    <w:qFormat/>
    <w:rsid w:val="00E66627"/>
    <w:rPr>
      <w:b/>
    </w:rPr>
  </w:style>
  <w:style w:type="paragraph" w:styleId="Citation">
    <w:name w:val="Quote"/>
    <w:basedOn w:val="Normal"/>
    <w:next w:val="Normal"/>
    <w:link w:val="CitationCar"/>
    <w:uiPriority w:val="29"/>
    <w:rsid w:val="00E66627"/>
    <w:rPr>
      <w:i/>
      <w:iCs/>
      <w:color w:val="000000" w:themeColor="text1"/>
    </w:rPr>
  </w:style>
  <w:style w:type="character" w:styleId="CitationCar" w:customStyle="1">
    <w:name w:val="Citation Car"/>
    <w:basedOn w:val="Policepardfaut"/>
    <w:link w:val="Citation"/>
    <w:uiPriority w:val="29"/>
    <w:rsid w:val="00E66627"/>
    <w:rPr>
      <w:i/>
      <w:iCs/>
      <w:color w:val="000000" w:themeColor="text1"/>
      <w:sz w:val="20"/>
    </w:rPr>
  </w:style>
  <w:style w:type="paragraph" w:styleId="UntertitelFormular" w:customStyle="1">
    <w:name w:val="Untertitel Formular"/>
    <w:basedOn w:val="Normal"/>
    <w:next w:val="Normal"/>
    <w:uiPriority w:val="12"/>
    <w:qFormat/>
    <w:rsid w:val="00E66627"/>
    <w:rPr>
      <w:b/>
      <w:sz w:val="16"/>
    </w:rPr>
  </w:style>
  <w:style w:type="paragraph" w:styleId="StandardFormular" w:customStyle="1">
    <w:name w:val="Standard Formular"/>
    <w:basedOn w:val="Flietext"/>
    <w:link w:val="StandardFormularZchn"/>
    <w:uiPriority w:val="11"/>
    <w:qFormat/>
    <w:rsid w:val="00E66627"/>
    <w:rPr>
      <w:rFonts w:cs="Arial"/>
      <w:sz w:val="16"/>
      <w:szCs w:val="16"/>
    </w:rPr>
  </w:style>
  <w:style w:type="character" w:styleId="StandardFormularZchn" w:customStyle="1">
    <w:name w:val="Standard Formular Zchn"/>
    <w:basedOn w:val="FlietextZchn"/>
    <w:link w:val="StandardFormular"/>
    <w:uiPriority w:val="11"/>
    <w:rsid w:val="00E66627"/>
    <w:rPr>
      <w:rFonts w:ascii="Arial" w:hAnsi="Arial" w:cs="Arial"/>
      <w:sz w:val="16"/>
      <w:szCs w:val="16"/>
    </w:rPr>
  </w:style>
  <w:style w:type="character" w:styleId="FlietextZchn" w:customStyle="1">
    <w:name w:val="Fließtext Zchn"/>
    <w:basedOn w:val="Policepardfaut"/>
    <w:link w:val="Flietext"/>
    <w:rsid w:val="006E42B2"/>
    <w:rPr>
      <w:rFonts w:ascii="Arial" w:hAnsi="Arial"/>
      <w:sz w:val="20"/>
    </w:rPr>
  </w:style>
  <w:style w:type="character" w:styleId="BulletZchn" w:customStyle="1">
    <w:name w:val="Bullet Zchn"/>
    <w:basedOn w:val="Policepardfaut"/>
    <w:link w:val="Bullet"/>
    <w:uiPriority w:val="2"/>
    <w:rsid w:val="00E66627"/>
    <w:rPr>
      <w:sz w:val="20"/>
    </w:rPr>
  </w:style>
  <w:style w:type="table" w:styleId="GB-Report" w:customStyle="1">
    <w:name w:val="GB-Report"/>
    <w:aliases w:val="Standardtabelle"/>
    <w:basedOn w:val="TableauNormal"/>
    <w:uiPriority w:val="99"/>
    <w:rsid w:val="00E66627"/>
    <w:pPr>
      <w:spacing w:line="240" w:lineRule="auto"/>
    </w:pPr>
    <w:rPr>
      <w:rFonts w:ascii="Times New Roman" w:hAnsi="Times New Roman" w:eastAsia="Times New Roman" w:cs="Times New Roman"/>
      <w:sz w:val="20"/>
      <w:szCs w:val="20"/>
      <w:lang w:val="de-CH" w:eastAsia="de-CH"/>
    </w:rPr>
    <w:tblPr/>
  </w:style>
  <w:style w:type="character" w:styleId="ParagraphedelisteCar" w:customStyle="1">
    <w:name w:val="Paragraphe de liste Car"/>
    <w:aliases w:val="Bullet Formulare Car"/>
    <w:basedOn w:val="Policepardfaut"/>
    <w:link w:val="Paragraphedeliste"/>
    <w:uiPriority w:val="34"/>
    <w:rsid w:val="00E66627"/>
    <w:rPr>
      <w:sz w:val="20"/>
    </w:rPr>
  </w:style>
  <w:style w:type="paragraph" w:styleId="Subheading" w:customStyle="1">
    <w:name w:val="Subheading"/>
    <w:basedOn w:val="Zwischenberschrift"/>
    <w:next w:val="Normal"/>
    <w:uiPriority w:val="4"/>
    <w:rsid w:val="006D4D8A"/>
  </w:style>
  <w:style w:type="character" w:styleId="TM1Car" w:customStyle="1">
    <w:name w:val="TM 1 Car"/>
    <w:basedOn w:val="Policepardfaut"/>
    <w:link w:val="TM1"/>
    <w:uiPriority w:val="39"/>
    <w:rsid w:val="0095538E"/>
    <w:rPr>
      <w:rFonts w:asciiTheme="majorHAnsi" w:hAnsiTheme="majorHAnsi" w:cstheme="majorHAnsi"/>
      <w:b/>
      <w:caps/>
      <w:noProof/>
      <w:color w:val="638AAB" w:themeColor="text2"/>
      <w:sz w:val="18"/>
      <w:szCs w:val="18"/>
      <w:lang w:val="de-CH"/>
    </w:rPr>
  </w:style>
  <w:style w:type="paragraph" w:styleId="Tabellentitel" w:customStyle="1">
    <w:name w:val="Tabellentitel"/>
    <w:basedOn w:val="Normal"/>
    <w:uiPriority w:val="9"/>
    <w:qFormat/>
    <w:rsid w:val="008E0A34"/>
    <w:pPr>
      <w:spacing w:after="80"/>
    </w:pPr>
    <w:rPr>
      <w:rFonts w:asciiTheme="majorHAnsi" w:hAnsiTheme="majorHAnsi"/>
      <w:b/>
      <w:caps/>
      <w:color w:val="6E6E6E" w:themeColor="accent6"/>
      <w:sz w:val="18"/>
    </w:rPr>
  </w:style>
  <w:style w:type="paragraph" w:styleId="ZwischenberschriftmitNummerierung" w:customStyle="1">
    <w:name w:val="Zwischenüberschrift mit Nummerierung"/>
    <w:basedOn w:val="Zwischenberschrift"/>
    <w:uiPriority w:val="9"/>
    <w:qFormat/>
    <w:rsid w:val="002E0846"/>
    <w:pPr>
      <w:numPr>
        <w:numId w:val="18"/>
      </w:numPr>
      <w:spacing w:line="250" w:lineRule="atLeast"/>
      <w:ind w:left="227" w:hanging="227"/>
      <w:jc w:val="both"/>
    </w:pPr>
    <w:rPr>
      <w:color w:val="808080" w:themeColor="background1" w:themeShade="80"/>
    </w:rPr>
  </w:style>
  <w:style w:type="character" w:styleId="ZwischenberschriftZchn" w:customStyle="1">
    <w:name w:val="Zwischenüberschrift Zchn"/>
    <w:basedOn w:val="Policepardfaut"/>
    <w:link w:val="Zwischenberschrift"/>
    <w:uiPriority w:val="8"/>
    <w:rsid w:val="002E0846"/>
    <w:rPr>
      <w:rFonts w:asciiTheme="majorHAnsi" w:hAnsiTheme="majorHAnsi" w:cstheme="majorHAnsi"/>
      <w:b/>
      <w:caps/>
      <w:color w:val="808080"/>
      <w:spacing w:val="6"/>
      <w:sz w:val="18"/>
      <w:szCs w:val="18"/>
      <w:lang w:val="de-CH"/>
    </w:rPr>
  </w:style>
  <w:style w:type="character" w:styleId="bgereferr" w:customStyle="1">
    <w:name w:val="bgeref_err"/>
    <w:basedOn w:val="Policepardfaut"/>
    <w:rsid w:val="00DE651E"/>
  </w:style>
  <w:style w:type="paragraph" w:styleId="s6e50bd9a" w:customStyle="1">
    <w:name w:val="s6e50bd9a"/>
    <w:basedOn w:val="Normal"/>
    <w:rsid w:val="001F6C0C"/>
    <w:pPr>
      <w:spacing w:before="100" w:beforeAutospacing="1" w:after="100" w:afterAutospacing="1" w:line="240" w:lineRule="auto"/>
    </w:pPr>
    <w:rPr>
      <w:rFonts w:ascii="Times New Roman" w:hAnsi="Times New Roman" w:eastAsia="Times New Roman" w:cs="Times New Roman"/>
      <w:sz w:val="24"/>
      <w:szCs w:val="24"/>
      <w:lang w:val="de-CH" w:eastAsia="de-CH"/>
    </w:rPr>
  </w:style>
  <w:style w:type="character" w:styleId="sfbbfee58" w:customStyle="1">
    <w:name w:val="sfbbfee58"/>
    <w:basedOn w:val="Policepardfaut"/>
    <w:rsid w:val="001F6C0C"/>
  </w:style>
  <w:style w:type="character" w:styleId="s1a844bc0" w:customStyle="1">
    <w:name w:val="s1a844bc0"/>
    <w:basedOn w:val="Policepardfaut"/>
    <w:rsid w:val="001F6C0C"/>
  </w:style>
  <w:style w:type="paragraph" w:styleId="s6c429373" w:customStyle="1">
    <w:name w:val="s6c429373"/>
    <w:basedOn w:val="Normal"/>
    <w:rsid w:val="001F6C0C"/>
    <w:pPr>
      <w:spacing w:before="100" w:beforeAutospacing="1" w:after="100" w:afterAutospacing="1" w:line="240" w:lineRule="auto"/>
    </w:pPr>
    <w:rPr>
      <w:rFonts w:ascii="Times New Roman" w:hAnsi="Times New Roman" w:eastAsia="Times New Roman" w:cs="Times New Roman"/>
      <w:sz w:val="24"/>
      <w:szCs w:val="24"/>
      <w:lang w:val="de-CH" w:eastAsia="de-CH"/>
    </w:rPr>
  </w:style>
  <w:style w:type="paragraph" w:styleId="Listepuces">
    <w:name w:val="List Bullet"/>
    <w:basedOn w:val="Normal"/>
    <w:uiPriority w:val="99"/>
    <w:unhideWhenUsed/>
    <w:rsid w:val="00040255"/>
    <w:pPr>
      <w:numPr>
        <w:numId w:val="36"/>
      </w:numPr>
      <w:contextualSpacing/>
    </w:pPr>
  </w:style>
  <w:style w:type="character" w:styleId="UnresolvedMention" w:customStyle="1">
    <w:name w:val="Unresolved Mention"/>
    <w:basedOn w:val="Policepardfaut"/>
    <w:uiPriority w:val="99"/>
    <w:semiHidden/>
    <w:unhideWhenUsed/>
    <w:rsid w:val="0030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33247">
      <w:bodyDiv w:val="1"/>
      <w:marLeft w:val="0"/>
      <w:marRight w:val="0"/>
      <w:marTop w:val="0"/>
      <w:marBottom w:val="0"/>
      <w:divBdr>
        <w:top w:val="none" w:sz="0" w:space="0" w:color="auto"/>
        <w:left w:val="none" w:sz="0" w:space="0" w:color="auto"/>
        <w:bottom w:val="none" w:sz="0" w:space="0" w:color="auto"/>
        <w:right w:val="none" w:sz="0" w:space="0" w:color="auto"/>
      </w:divBdr>
    </w:div>
    <w:div w:id="798912228">
      <w:bodyDiv w:val="1"/>
      <w:marLeft w:val="0"/>
      <w:marRight w:val="0"/>
      <w:marTop w:val="0"/>
      <w:marBottom w:val="0"/>
      <w:divBdr>
        <w:top w:val="none" w:sz="0" w:space="0" w:color="auto"/>
        <w:left w:val="none" w:sz="0" w:space="0" w:color="auto"/>
        <w:bottom w:val="none" w:sz="0" w:space="0" w:color="auto"/>
        <w:right w:val="none" w:sz="0" w:space="0" w:color="auto"/>
      </w:divBdr>
      <w:divsChild>
        <w:div w:id="1114862539">
          <w:marLeft w:val="0"/>
          <w:marRight w:val="0"/>
          <w:marTop w:val="0"/>
          <w:marBottom w:val="0"/>
          <w:divBdr>
            <w:top w:val="none" w:sz="0" w:space="0" w:color="auto"/>
            <w:left w:val="none" w:sz="0" w:space="0" w:color="auto"/>
            <w:bottom w:val="none" w:sz="0" w:space="0" w:color="auto"/>
            <w:right w:val="none" w:sz="0" w:space="0" w:color="auto"/>
          </w:divBdr>
        </w:div>
        <w:div w:id="1659528173">
          <w:marLeft w:val="0"/>
          <w:marRight w:val="0"/>
          <w:marTop w:val="0"/>
          <w:marBottom w:val="0"/>
          <w:divBdr>
            <w:top w:val="none" w:sz="0" w:space="0" w:color="auto"/>
            <w:left w:val="none" w:sz="0" w:space="0" w:color="auto"/>
            <w:bottom w:val="none" w:sz="0" w:space="0" w:color="auto"/>
            <w:right w:val="none" w:sz="0" w:space="0" w:color="auto"/>
          </w:divBdr>
        </w:div>
      </w:divsChild>
    </w:div>
    <w:div w:id="973947445">
      <w:bodyDiv w:val="1"/>
      <w:marLeft w:val="0"/>
      <w:marRight w:val="0"/>
      <w:marTop w:val="0"/>
      <w:marBottom w:val="0"/>
      <w:divBdr>
        <w:top w:val="none" w:sz="0" w:space="0" w:color="auto"/>
        <w:left w:val="none" w:sz="0" w:space="0" w:color="auto"/>
        <w:bottom w:val="none" w:sz="0" w:space="0" w:color="auto"/>
        <w:right w:val="none" w:sz="0" w:space="0" w:color="auto"/>
      </w:divBdr>
      <w:divsChild>
        <w:div w:id="1498493153">
          <w:marLeft w:val="0"/>
          <w:marRight w:val="0"/>
          <w:marTop w:val="0"/>
          <w:marBottom w:val="0"/>
          <w:divBdr>
            <w:top w:val="none" w:sz="0" w:space="0" w:color="auto"/>
            <w:left w:val="none" w:sz="0" w:space="0" w:color="auto"/>
            <w:bottom w:val="none" w:sz="0" w:space="0" w:color="auto"/>
            <w:right w:val="none" w:sz="0" w:space="0" w:color="auto"/>
          </w:divBdr>
        </w:div>
        <w:div w:id="301422716">
          <w:marLeft w:val="0"/>
          <w:marRight w:val="0"/>
          <w:marTop w:val="0"/>
          <w:marBottom w:val="0"/>
          <w:divBdr>
            <w:top w:val="none" w:sz="0" w:space="0" w:color="auto"/>
            <w:left w:val="none" w:sz="0" w:space="0" w:color="auto"/>
            <w:bottom w:val="none" w:sz="0" w:space="0" w:color="auto"/>
            <w:right w:val="none" w:sz="0" w:space="0" w:color="auto"/>
          </w:divBdr>
          <w:divsChild>
            <w:div w:id="907961028">
              <w:marLeft w:val="0"/>
              <w:marRight w:val="0"/>
              <w:marTop w:val="0"/>
              <w:marBottom w:val="0"/>
              <w:divBdr>
                <w:top w:val="none" w:sz="0" w:space="0" w:color="auto"/>
                <w:left w:val="none" w:sz="0" w:space="0" w:color="auto"/>
                <w:bottom w:val="none" w:sz="0" w:space="0" w:color="auto"/>
                <w:right w:val="none" w:sz="0" w:space="0" w:color="auto"/>
              </w:divBdr>
            </w:div>
          </w:divsChild>
        </w:div>
        <w:div w:id="897669650">
          <w:marLeft w:val="0"/>
          <w:marRight w:val="0"/>
          <w:marTop w:val="0"/>
          <w:marBottom w:val="0"/>
          <w:divBdr>
            <w:top w:val="none" w:sz="0" w:space="0" w:color="auto"/>
            <w:left w:val="none" w:sz="0" w:space="0" w:color="auto"/>
            <w:bottom w:val="none" w:sz="0" w:space="0" w:color="auto"/>
            <w:right w:val="none" w:sz="0" w:space="0" w:color="auto"/>
          </w:divBdr>
        </w:div>
        <w:div w:id="1900557691">
          <w:marLeft w:val="0"/>
          <w:marRight w:val="0"/>
          <w:marTop w:val="0"/>
          <w:marBottom w:val="0"/>
          <w:divBdr>
            <w:top w:val="none" w:sz="0" w:space="0" w:color="auto"/>
            <w:left w:val="none" w:sz="0" w:space="0" w:color="auto"/>
            <w:bottom w:val="none" w:sz="0" w:space="0" w:color="auto"/>
            <w:right w:val="none" w:sz="0" w:space="0" w:color="auto"/>
          </w:divBdr>
          <w:divsChild>
            <w:div w:id="19927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24/233_245_233/fr" TargetMode="External"/><Relationship Id="rId21" Type="http://schemas.openxmlformats.org/officeDocument/2006/relationships/hyperlink" Target="https://www.bger.ch/ext/eurospider/live/fr/php/clir/http/index.php?highlight_docid=atf%3A%2F%2F99-IV-208%3Afr&amp;lang=fr&amp;zoom=&amp;type=show_document" TargetMode="External"/><Relationship Id="rId34" Type="http://schemas.openxmlformats.org/officeDocument/2006/relationships/image" Target="media/image7.png"/><Relationship Id="rId42" Type="http://schemas.openxmlformats.org/officeDocument/2006/relationships/hyperlink" Target="https://www.fedlex.admin.ch/eli/cc/2022/537/fr" TargetMode="External"/><Relationship Id="rId47" Type="http://schemas.openxmlformats.org/officeDocument/2006/relationships/hyperlink" Target="https://www.bger.ch/ext/eurospider/live/fr/php/clir/http/index.php?lang=fr&amp;type=show_document&amp;highlight_docid=atf://105-II-284:fr&amp;print=yes" TargetMode="External"/><Relationship Id="rId50" Type="http://schemas.openxmlformats.org/officeDocument/2006/relationships/hyperlink" Target="https://www.bger.ch/ext/eurospider/live/fr/php/aza/http/index.php?lang=fr&amp;type=show_document&amp;highlight_docid=aza://28-04-2003-4P-265-2002&amp;print=yes" TargetMode="External"/><Relationship Id="rId55" Type="http://schemas.openxmlformats.org/officeDocument/2006/relationships/hyperlink" Target="https://www.bger.ch/ext/eurospider/live/fr/php/aza/http/index.php?lang=fr&amp;type=show_document&amp;highlight_docid=aza://09-01-2008-4C-66-2007&amp;print=yes" TargetMode="External"/><Relationship Id="rId63" Type="http://schemas.openxmlformats.org/officeDocument/2006/relationships/theme" Target="theme/theme1.xml"/><Relationship Id="R519655f8936747c4" Type="http://schemas.openxmlformats.org/officeDocument/2006/relationships/hyperlink" Target="https://www.globalhealthrights.org/wp-content/uploads/2013/02/ECtHR-2004-Glass-v-United-Kingdom-French.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lex.admin.ch/eli/cc/27/317_321_377/fr" TargetMode="External"/><Relationship Id="rId29" Type="http://schemas.openxmlformats.org/officeDocument/2006/relationships/hyperlink" Target="https://entscheide.weblaw.ch/cache.php?link=10.05.2011_6B_896-2010&amp;sel_sort=alpha" TargetMode="External"/><Relationship Id="rId11" Type="http://schemas.openxmlformats.org/officeDocument/2006/relationships/hyperlink" Target="https://www.espace-ethique.org/ressources/charte-declaration-position/code-de-nuremberg" TargetMode="External"/><Relationship Id="rId24" Type="http://schemas.openxmlformats.org/officeDocument/2006/relationships/hyperlink" Target="https://www.bger.ch/ext/eurospider/live/fr/php/aza/http/index.php?lang=fr&amp;type=highlight_simple_query&amp;page=1&amp;from_date=&amp;to_date=&amp;sort=relevance&amp;insertion_date=&amp;top_subcollection_aza=all&amp;query_words=4p.265&amp;rank=2&amp;azaclir=aza&amp;highlight_docid=aza%3A%2F%2F28-04-2003-4P-265-2002&amp;number_of_ranks=202" TargetMode="External"/><Relationship Id="rId32" Type="http://schemas.openxmlformats.org/officeDocument/2006/relationships/hyperlink" Target="https://www.fedlex.admin.ch/eli/cc/24/233_245_233/fr" TargetMode="External"/><Relationship Id="rId37" Type="http://schemas.openxmlformats.org/officeDocument/2006/relationships/hyperlink" Target="https://www.fedlex.admin.ch/eli/cc/2000/554/fr" TargetMode="External"/><Relationship Id="rId40" Type="http://schemas.openxmlformats.org/officeDocument/2006/relationships/hyperlink" Target="https://www.fedlex.admin.ch/eli/oc/2016/217/fr" TargetMode="External"/><Relationship Id="rId45" Type="http://schemas.openxmlformats.org/officeDocument/2006/relationships/hyperlink" Target="https://www.bger.ch/ext/eurospider/live/fr/php/aza/http/index.php?lang=fr&amp;type=highlight_simple_query&amp;page=1&amp;from_date=&amp;to_date=&amp;sort=relevance&amp;insertion_date=&amp;top_subcollection_aza=all&amp;query_words=4P+265%2F2002+&amp;rank=1&amp;azaclir=aza&amp;highlight_docid=aza%3A%2F%2F28-04-2003-4P-265-2002&amp;number_of_ranks=13" TargetMode="External"/><Relationship Id="rId53" Type="http://schemas.openxmlformats.org/officeDocument/2006/relationships/hyperlink" Target="https://www.bger.ch/ext/eurospider/live/fr/php/aza/http/index.php?lang=fr&amp;type=highlight_simple_query&amp;page=2&amp;from_date=&amp;to_date=&amp;sort=relevance&amp;subcollection_iTF=on&amp;subcollection_mCm=on&amp;subcollection_mI15=on&amp;insertion_date=&amp;top_subcollection_aza=any&amp;query_words=4A.323&amp;rank=12&amp;azaclir=aza&amp;highlight_docid=aza%3A%2F%2F24-10-2007-4A_323-2007&amp;number_of_ranks=1219" TargetMode="External"/><Relationship Id="rId58" Type="http://schemas.openxmlformats.org/officeDocument/2006/relationships/footer" Target="footer1.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fedlex.admin.ch/eli/cc/54/757_781_799/fr" TargetMode="External"/><Relationship Id="rId22" Type="http://schemas.openxmlformats.org/officeDocument/2006/relationships/hyperlink" Target="https://www.fedlex.admin.ch/eli/cc/24/233_245_233/fr" TargetMode="External"/><Relationship Id="rId27" Type="http://schemas.openxmlformats.org/officeDocument/2006/relationships/hyperlink" Target="https://www.fedlex.admin.ch/eli/cc/27/317_321_377/fr" TargetMode="External"/><Relationship Id="rId30" Type="http://schemas.openxmlformats.org/officeDocument/2006/relationships/hyperlink" Target="https://www.fedlex.admin.ch/eli/cc/24/233_245_233/fr" TargetMode="External"/><Relationship Id="rId35" Type="http://schemas.openxmlformats.org/officeDocument/2006/relationships/image" Target="media/image8.png"/><Relationship Id="rId43" Type="http://schemas.openxmlformats.org/officeDocument/2006/relationships/hyperlink" Target="https://www.fedlex.admin.ch/eli/cc/2015/297/fr" TargetMode="External"/><Relationship Id="rId48" Type="http://schemas.openxmlformats.org/officeDocument/2006/relationships/hyperlink" Target="https://www.bger.ch/ext/eurospider/live/fr/php/aza/http/index.php?lang=fr&amp;type=highlight_simple_query&amp;page=1&amp;from_date=&amp;to_date=&amp;sort=relevance&amp;subcollection_iTF=on&amp;subcollection_mCm=on&amp;subcollection_mI15=on&amp;insertion_date=&amp;top_subcollection_aza=any&amp;query_words=4C.229%2F2000&amp;rank=1&amp;azaclir=aza&amp;highlight_docid=aza%3A%2F%2F27-11-2001-4C-229-2000&amp;number_of_ranks=8" TargetMode="External"/><Relationship Id="rId56" Type="http://schemas.openxmlformats.org/officeDocument/2006/relationships/header" Target="header1.xml"/><Relationship Id="rId64" Type="http://schemas.openxmlformats.org/officeDocument/2006/relationships/customXml" Target="../customXml/item2.xml"/><Relationship Id="rId8" Type="http://schemas.openxmlformats.org/officeDocument/2006/relationships/image" Target="media/image2.jpeg"/><Relationship Id="rId51" Type="http://schemas.openxmlformats.org/officeDocument/2006/relationships/hyperlink" Target="https://www.bger.ch/ext/eurospider/live/fr/php/clir/http/index.php?highlight_docid=atf%3A%2F%2F117-IB-197%3Afr&amp;lang=fr&amp;zoom=&amp;type=show_document" TargetMode="External"/><Relationship Id="rId3" Type="http://schemas.openxmlformats.org/officeDocument/2006/relationships/styles" Target="styles.xml"/><Relationship Id="rId12" Type="http://schemas.openxmlformats.org/officeDocument/2006/relationships/hyperlink" Target="https://www.fedlex.admin.ch/eli/cc/2008/718/fr" TargetMode="External"/><Relationship Id="rId17" Type="http://schemas.openxmlformats.org/officeDocument/2006/relationships/hyperlink" Target="https://www.fedlex.admin.ch/eli/cc/24/233_245_233/fr" TargetMode="External"/><Relationship Id="rId25" Type="http://schemas.openxmlformats.org/officeDocument/2006/relationships/hyperlink" Target="https://www.bger.ch/ext/eurospider/live/fr/php/aza/http/index.php?highlight_docid=aza%3A%2F%2F26-08-2003-4P-110-2003&amp;lang=fr&amp;type=show_document&amp;zoom=YES&amp;" TargetMode="External"/><Relationship Id="rId33" Type="http://schemas.openxmlformats.org/officeDocument/2006/relationships/hyperlink" Target="https://www.fedlex.admin.ch/eli/cc/24/233_245_233/fr" TargetMode="External"/><Relationship Id="rId38" Type="http://schemas.openxmlformats.org/officeDocument/2006/relationships/hyperlink" Target="https://www.fedlex.admin.ch/eli/cc/2005/425/fr" TargetMode="External"/><Relationship Id="rId46" Type="http://schemas.openxmlformats.org/officeDocument/2006/relationships/image" Target="media/image9.png"/><Relationship Id="rId59" Type="http://schemas.openxmlformats.org/officeDocument/2006/relationships/footer" Target="footer2.xml"/><Relationship Id="rId20" Type="http://schemas.openxmlformats.org/officeDocument/2006/relationships/hyperlink" Target="https://www.fedlex.admin.ch/eli/cc/54/757_781_799/fr" TargetMode="External"/><Relationship Id="rId41" Type="http://schemas.openxmlformats.org/officeDocument/2006/relationships/hyperlink" Target="https://www.fedlex.admin.ch/eli/cc/2022/537/fr" TargetMode="External"/><Relationship Id="rId54" Type="http://schemas.openxmlformats.org/officeDocument/2006/relationships/hyperlink" Target="https://www.bger.ch/ext/eurospider/live/fr/php/aza/http/index.php?lang=fr&amp;type=highlight_simple_query&amp;page=1&amp;from_date=&amp;to_date=&amp;sort=relevance&amp;subcollection_iTF=on&amp;subcollection_mCm=on&amp;subcollection_mI15=on&amp;insertion_date=&amp;top_subcollection_aza=any&amp;query_words=4P.169%2F2003&amp;rank=1&amp;azaclir=aza&amp;highlight_docid=aza%3A%2F%2F30-10-2003-4P-169-2003&amp;number_of_ranks=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7/317_321_377/fr" TargetMode="External"/><Relationship Id="rId23" Type="http://schemas.openxmlformats.org/officeDocument/2006/relationships/hyperlink" Target="https://www.fmh.ch/files/pdf7/code-de-deontologie-fmh.pdf" TargetMode="External"/><Relationship Id="rId28" Type="http://schemas.openxmlformats.org/officeDocument/2006/relationships/hyperlink" Target="https://www.bger.ch/ext/eurospider/live/fr/php/clir/http/index.php?highlight_docid=atf%3A%2F%2F117-IB-197%3Afr&amp;lang=fr&amp;zoom=&amp;type=show_document" TargetMode="External"/><Relationship Id="rId36" Type="http://schemas.openxmlformats.org/officeDocument/2006/relationships/hyperlink" Target="https://www.fedlex.admin.ch/eli/cc/54/757_781_799/fr" TargetMode="External"/><Relationship Id="rId49" Type="http://schemas.openxmlformats.org/officeDocument/2006/relationships/hyperlink" Target="https://entscheide.weblaw.ch/cache.php?link=12.07.2007_1P.71-2007&amp;sel_lang=fr" TargetMode="External"/><Relationship Id="rId57" Type="http://schemas.openxmlformats.org/officeDocument/2006/relationships/header" Target="header2.xml"/><Relationship Id="rId10" Type="http://schemas.openxmlformats.org/officeDocument/2006/relationships/image" Target="media/image4.png"/><Relationship Id="rId31" Type="http://schemas.openxmlformats.org/officeDocument/2006/relationships/hyperlink" Target="https://www.fedlex.admin.ch/eli/cc/24/233_245_233/fr" TargetMode="External"/><Relationship Id="rId44" Type="http://schemas.openxmlformats.org/officeDocument/2006/relationships/hyperlink" Target="https://www.fedlex.admin.ch/eli/cc/2015/297/fr" TargetMode="External"/><Relationship Id="rId52" Type="http://schemas.openxmlformats.org/officeDocument/2006/relationships/hyperlink" Target="https://www.bger.ch/ext/eurospider/live/fr/php/clir/http/index.php?highlight_docid=atf%3A%2F%2F117-IB-197%3Afr&amp;lang=fr&amp;zoom=&amp;type=show_document" TargetMode="External"/><Relationship Id="rId60" Type="http://schemas.openxmlformats.org/officeDocument/2006/relationships/header" Target="header3.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www.fedlex.admin.ch/eli/cc/2008/718/fr" TargetMode="External"/><Relationship Id="rId18" Type="http://schemas.openxmlformats.org/officeDocument/2006/relationships/hyperlink" Target="https://www.fedlex.admin.ch/eli/cc/54/757_781_799/fr" TargetMode="External"/><Relationship Id="rId39" Type="http://schemas.openxmlformats.org/officeDocument/2006/relationships/hyperlink" Target="https://www.fedlex.admin.ch/eli/cc/2005/425/fr"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ESSLER">
  <a:themeElements>
    <a:clrScheme name="KESSLER 2016">
      <a:dk1>
        <a:sysClr val="windowText" lastClr="000000"/>
      </a:dk1>
      <a:lt1>
        <a:sysClr val="window" lastClr="FFFFFF"/>
      </a:lt1>
      <a:dk2>
        <a:srgbClr val="638AAB"/>
      </a:dk2>
      <a:lt2>
        <a:srgbClr val="6DC1FF"/>
      </a:lt2>
      <a:accent1>
        <a:srgbClr val="662B64"/>
      </a:accent1>
      <a:accent2>
        <a:srgbClr val="C84818"/>
      </a:accent2>
      <a:accent3>
        <a:srgbClr val="D67C1C"/>
      </a:accent3>
      <a:accent4>
        <a:srgbClr val="D3B314"/>
      </a:accent4>
      <a:accent5>
        <a:srgbClr val="4B7E3B"/>
      </a:accent5>
      <a:accent6>
        <a:srgbClr val="6E6E6E"/>
      </a:accent6>
      <a:hlink>
        <a:srgbClr val="0070C0"/>
      </a:hlink>
      <a:folHlink>
        <a:srgbClr val="7030A0"/>
      </a:folHlink>
    </a:clrScheme>
    <a:fontScheme name="_Arial">
      <a:majorFont>
        <a:latin typeface="Arial"/>
        <a:ea typeface=""/>
        <a:cs typeface=""/>
      </a:majorFont>
      <a:minorFont>
        <a:latin typeface="Arial"/>
        <a:ea typeface=""/>
        <a:cs typeface=""/>
      </a:minorFont>
    </a:fontScheme>
    <a:fmtScheme name="Kessler201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Droits des patient·e·s</Th_x00e8_me>
    <Hub xmlns="07104ea7-f245-4466-9c6f-6502bdf82c95">HUB — CAS I</Hub>
    <Niveau xmlns="07104ea7-f245-4466-9c6f-6502bdf82c95">
      <Value>Basique</Value>
    </Niveau>
    <Difficult_x00e9_ xmlns="07104ea7-f245-4466-9c6f-6502bdf82c95" xsi:nil="true"/>
    <Loi xmlns="07104ea7-f245-4466-9c6f-6502bdf82c95">CO</Loi>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EE6AAE9B-F062-43BD-BA60-0AC1C6AF0507}">
  <ds:schemaRefs>
    <ds:schemaRef ds:uri="http://schemas.openxmlformats.org/officeDocument/2006/bibliography"/>
  </ds:schemaRefs>
</ds:datastoreItem>
</file>

<file path=customXml/itemProps2.xml><?xml version="1.0" encoding="utf-8"?>
<ds:datastoreItem xmlns:ds="http://schemas.openxmlformats.org/officeDocument/2006/customXml" ds:itemID="{7D8AA02D-DF2B-426F-95A4-3D8B9755FF5E}"/>
</file>

<file path=customXml/itemProps3.xml><?xml version="1.0" encoding="utf-8"?>
<ds:datastoreItem xmlns:ds="http://schemas.openxmlformats.org/officeDocument/2006/customXml" ds:itemID="{4E63AFDF-671C-4B1A-9A43-083E84F8795E}"/>
</file>

<file path=customXml/itemProps4.xml><?xml version="1.0" encoding="utf-8"?>
<ds:datastoreItem xmlns:ds="http://schemas.openxmlformats.org/officeDocument/2006/customXml" ds:itemID="{D57E5AC7-E719-4BDC-BFAB-4C182D71E8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82E8A1C.dotm</ap:Template>
  <ap:Application>Microsoft Word for the web</ap:Application>
  <ap:DocSecurity>0</ap:DocSecurity>
  <ap:ScaleCrop>false</ap:ScaleCrop>
  <ap:Company>Kessler &amp; Co AG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Léchot</dc:creator>
  <cp:lastModifiedBy>Laurence Petoud</cp:lastModifiedBy>
  <cp:revision>155</cp:revision>
  <cp:lastPrinted>2020-12-31T14:39:00Z</cp:lastPrinted>
  <dcterms:created xsi:type="dcterms:W3CDTF">2020-12-31T14:39:00Z</dcterms:created>
  <dcterms:modified xsi:type="dcterms:W3CDTF">2024-10-30T10:30:38Z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