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269BD" w14:textId="77777777" w:rsidR="00D42571" w:rsidRDefault="00D42571" w:rsidP="006D54A0">
      <w:pPr>
        <w:spacing w:before="120" w:after="120" w:line="276" w:lineRule="auto"/>
        <w:jc w:val="both"/>
        <w:rPr>
          <w:rFonts w:ascii="Verdana" w:hAnsi="Verdana" w:cs="Arial"/>
          <w:b/>
          <w:bCs/>
          <w:sz w:val="20"/>
          <w:szCs w:val="20"/>
        </w:rPr>
      </w:pPr>
    </w:p>
    <w:p w14:paraId="326B5384" w14:textId="563A25C5" w:rsidR="00D42571" w:rsidRDefault="00D42571" w:rsidP="006D54A0">
      <w:pPr>
        <w:spacing w:before="120" w:after="120" w:line="276" w:lineRule="auto"/>
        <w:jc w:val="both"/>
        <w:rPr>
          <w:rFonts w:ascii="Verdana" w:hAnsi="Verdana" w:cs="Arial"/>
          <w:b/>
          <w:bCs/>
          <w:sz w:val="20"/>
          <w:szCs w:val="20"/>
        </w:rPr>
      </w:pPr>
    </w:p>
    <w:p w14:paraId="5A6FAF3E" w14:textId="3C100C44" w:rsidR="00D42571" w:rsidRDefault="00274AF5" w:rsidP="006D54A0">
      <w:pPr>
        <w:spacing w:before="120" w:after="120" w:line="276" w:lineRule="auto"/>
        <w:jc w:val="both"/>
        <w:rPr>
          <w:rFonts w:ascii="Verdana" w:hAnsi="Verdana" w:cs="Arial"/>
          <w:b/>
          <w:bCs/>
          <w:sz w:val="20"/>
          <w:szCs w:val="20"/>
        </w:rPr>
      </w:pPr>
      <w:r w:rsidRPr="00D42571">
        <w:rPr>
          <w:rFonts w:ascii="Verdana" w:hAnsi="Verdana" w:cs="Arial"/>
          <w:b/>
          <w:bCs/>
          <w:noProof/>
          <w:sz w:val="20"/>
          <w:szCs w:val="20"/>
        </w:rPr>
        <w:drawing>
          <wp:anchor distT="0" distB="0" distL="114300" distR="114300" simplePos="0" relativeHeight="251659264" behindDoc="0" locked="0" layoutInCell="1" allowOverlap="1" wp14:anchorId="15EB8DA3" wp14:editId="054D1ED7">
            <wp:simplePos x="0" y="0"/>
            <wp:positionH relativeFrom="margin">
              <wp:align>left</wp:align>
            </wp:positionH>
            <wp:positionV relativeFrom="paragraph">
              <wp:posOffset>8331</wp:posOffset>
            </wp:positionV>
            <wp:extent cx="2520392" cy="1682496"/>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20392" cy="1682496"/>
                    </a:xfrm>
                    <a:prstGeom prst="rect">
                      <a:avLst/>
                    </a:prstGeom>
                  </pic:spPr>
                </pic:pic>
              </a:graphicData>
            </a:graphic>
            <wp14:sizeRelH relativeFrom="page">
              <wp14:pctWidth>0</wp14:pctWidth>
            </wp14:sizeRelH>
            <wp14:sizeRelV relativeFrom="page">
              <wp14:pctHeight>0</wp14:pctHeight>
            </wp14:sizeRelV>
          </wp:anchor>
        </w:drawing>
      </w:r>
    </w:p>
    <w:p w14:paraId="09A2B186" w14:textId="3039FF9E" w:rsidR="00D42571" w:rsidRDefault="00D42571" w:rsidP="006D54A0">
      <w:pPr>
        <w:spacing w:before="120" w:after="120" w:line="276" w:lineRule="auto"/>
        <w:jc w:val="both"/>
        <w:rPr>
          <w:rFonts w:ascii="Verdana" w:hAnsi="Verdana" w:cs="Arial"/>
          <w:b/>
          <w:bCs/>
          <w:sz w:val="20"/>
          <w:szCs w:val="20"/>
        </w:rPr>
      </w:pPr>
    </w:p>
    <w:p w14:paraId="4181068B" w14:textId="3FE184F7" w:rsidR="00D42571" w:rsidRDefault="00D42571" w:rsidP="006D54A0">
      <w:pPr>
        <w:spacing w:before="120" w:after="120" w:line="276" w:lineRule="auto"/>
        <w:jc w:val="both"/>
        <w:rPr>
          <w:rFonts w:ascii="Verdana" w:hAnsi="Verdana" w:cs="Arial"/>
          <w:b/>
          <w:bCs/>
          <w:sz w:val="20"/>
          <w:szCs w:val="20"/>
        </w:rPr>
      </w:pPr>
    </w:p>
    <w:p w14:paraId="322EFB81" w14:textId="77777777" w:rsidR="00274AF5" w:rsidRDefault="00274AF5" w:rsidP="006D54A0">
      <w:pPr>
        <w:spacing w:before="120" w:after="120" w:line="276" w:lineRule="auto"/>
        <w:jc w:val="both"/>
        <w:rPr>
          <w:rFonts w:ascii="Verdana" w:hAnsi="Verdana" w:cs="Arial"/>
          <w:b/>
          <w:bCs/>
          <w:sz w:val="20"/>
          <w:szCs w:val="20"/>
        </w:rPr>
      </w:pPr>
    </w:p>
    <w:p w14:paraId="3BEF811D" w14:textId="77777777" w:rsidR="00274AF5" w:rsidRDefault="00274AF5" w:rsidP="006D54A0">
      <w:pPr>
        <w:spacing w:before="120" w:after="120" w:line="276" w:lineRule="auto"/>
        <w:jc w:val="both"/>
        <w:rPr>
          <w:rFonts w:ascii="Verdana" w:hAnsi="Verdana" w:cs="Arial"/>
          <w:b/>
          <w:bCs/>
          <w:sz w:val="20"/>
          <w:szCs w:val="20"/>
        </w:rPr>
      </w:pPr>
    </w:p>
    <w:p w14:paraId="6E38F97E" w14:textId="77777777" w:rsidR="00274AF5" w:rsidRDefault="00274AF5" w:rsidP="006D54A0">
      <w:pPr>
        <w:spacing w:before="120" w:after="120" w:line="276" w:lineRule="auto"/>
        <w:jc w:val="both"/>
        <w:rPr>
          <w:rFonts w:ascii="Verdana" w:hAnsi="Verdana" w:cs="Arial"/>
          <w:b/>
          <w:bCs/>
          <w:sz w:val="20"/>
          <w:szCs w:val="20"/>
        </w:rPr>
      </w:pPr>
    </w:p>
    <w:p w14:paraId="1AC84D50" w14:textId="77777777" w:rsidR="00274AF5" w:rsidRDefault="00274AF5" w:rsidP="006D54A0">
      <w:pPr>
        <w:spacing w:before="120" w:after="120" w:line="276" w:lineRule="auto"/>
        <w:jc w:val="both"/>
        <w:rPr>
          <w:rFonts w:ascii="Verdana" w:hAnsi="Verdana" w:cs="Arial"/>
          <w:b/>
          <w:bCs/>
          <w:sz w:val="20"/>
          <w:szCs w:val="20"/>
        </w:rPr>
      </w:pPr>
    </w:p>
    <w:p w14:paraId="114AB754" w14:textId="33CC9B00" w:rsidR="00274AF5" w:rsidRDefault="00274AF5" w:rsidP="006D54A0">
      <w:pPr>
        <w:spacing w:before="120" w:after="120" w:line="276" w:lineRule="auto"/>
        <w:jc w:val="both"/>
        <w:rPr>
          <w:rFonts w:ascii="Verdana" w:hAnsi="Verdana" w:cs="Arial"/>
          <w:b/>
          <w:bCs/>
          <w:sz w:val="20"/>
          <w:szCs w:val="20"/>
        </w:rPr>
      </w:pPr>
      <w:r>
        <w:rPr>
          <w:noProof/>
          <w:lang w:eastAsia="fr-CH"/>
        </w:rPr>
        <w:drawing>
          <wp:anchor distT="0" distB="0" distL="114300" distR="114300" simplePos="0" relativeHeight="251658240" behindDoc="0" locked="0" layoutInCell="1" allowOverlap="1" wp14:anchorId="0E87DA44" wp14:editId="18403F8E">
            <wp:simplePos x="0" y="0"/>
            <wp:positionH relativeFrom="column">
              <wp:posOffset>3355111</wp:posOffset>
            </wp:positionH>
            <wp:positionV relativeFrom="paragraph">
              <wp:posOffset>17196</wp:posOffset>
            </wp:positionV>
            <wp:extent cx="2744799" cy="1397203"/>
            <wp:effectExtent l="0" t="0" r="0" b="0"/>
            <wp:wrapNone/>
            <wp:docPr id="3" name="Image 3" descr="Détecter et soigner son addiction - Santé.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tecter et soigner son addiction - Santé.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4799" cy="1397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7CD01" w14:textId="7C03AB39" w:rsidR="00274AF5" w:rsidRDefault="00274AF5" w:rsidP="006D54A0">
      <w:pPr>
        <w:spacing w:before="120" w:after="120" w:line="276" w:lineRule="auto"/>
        <w:jc w:val="both"/>
        <w:rPr>
          <w:rFonts w:ascii="Verdana" w:hAnsi="Verdana" w:cs="Arial"/>
          <w:b/>
          <w:bCs/>
          <w:sz w:val="20"/>
          <w:szCs w:val="20"/>
        </w:rPr>
      </w:pPr>
    </w:p>
    <w:p w14:paraId="7B30A81B" w14:textId="5A0AC85E" w:rsidR="00274AF5" w:rsidRDefault="00274AF5" w:rsidP="006D54A0">
      <w:pPr>
        <w:spacing w:before="120" w:after="120" w:line="276" w:lineRule="auto"/>
        <w:jc w:val="both"/>
        <w:rPr>
          <w:rFonts w:ascii="Verdana" w:hAnsi="Verdana" w:cs="Arial"/>
          <w:b/>
          <w:bCs/>
          <w:sz w:val="20"/>
          <w:szCs w:val="20"/>
        </w:rPr>
      </w:pPr>
    </w:p>
    <w:p w14:paraId="14AE00AF" w14:textId="77777777" w:rsidR="00274AF5" w:rsidRDefault="00274AF5" w:rsidP="006D54A0">
      <w:pPr>
        <w:spacing w:before="120" w:after="120" w:line="276" w:lineRule="auto"/>
        <w:jc w:val="both"/>
        <w:rPr>
          <w:rFonts w:ascii="Verdana" w:hAnsi="Verdana" w:cs="Arial"/>
          <w:b/>
          <w:bCs/>
          <w:sz w:val="20"/>
          <w:szCs w:val="20"/>
        </w:rPr>
      </w:pPr>
    </w:p>
    <w:p w14:paraId="725CEA33" w14:textId="14AF65C7" w:rsidR="00274AF5" w:rsidRDefault="00274AF5" w:rsidP="006D54A0">
      <w:pPr>
        <w:spacing w:before="120" w:after="120" w:line="276" w:lineRule="auto"/>
        <w:jc w:val="both"/>
        <w:rPr>
          <w:rFonts w:ascii="Verdana" w:hAnsi="Verdana" w:cs="Arial"/>
          <w:b/>
          <w:bCs/>
          <w:sz w:val="20"/>
          <w:szCs w:val="20"/>
        </w:rPr>
      </w:pPr>
    </w:p>
    <w:p w14:paraId="7191A24E" w14:textId="28877F52" w:rsidR="00274AF5" w:rsidRDefault="00274AF5" w:rsidP="006D54A0">
      <w:pPr>
        <w:spacing w:before="120" w:after="120" w:line="276" w:lineRule="auto"/>
        <w:jc w:val="both"/>
        <w:rPr>
          <w:rFonts w:ascii="Verdana" w:hAnsi="Verdana" w:cs="Arial"/>
          <w:b/>
          <w:bCs/>
          <w:sz w:val="20"/>
          <w:szCs w:val="20"/>
        </w:rPr>
      </w:pPr>
    </w:p>
    <w:p w14:paraId="7B0C8D3B" w14:textId="712C3B29" w:rsidR="00274AF5" w:rsidRDefault="00274AF5" w:rsidP="006D54A0">
      <w:pPr>
        <w:spacing w:before="120" w:after="120" w:line="276" w:lineRule="auto"/>
        <w:jc w:val="both"/>
        <w:rPr>
          <w:rFonts w:ascii="Verdana" w:hAnsi="Verdana" w:cs="Arial"/>
          <w:b/>
          <w:bCs/>
          <w:sz w:val="20"/>
          <w:szCs w:val="20"/>
        </w:rPr>
      </w:pPr>
      <w:r>
        <w:rPr>
          <w:noProof/>
          <w:lang w:eastAsia="fr-CH"/>
        </w:rPr>
        <w:drawing>
          <wp:anchor distT="0" distB="0" distL="114300" distR="114300" simplePos="0" relativeHeight="251660288" behindDoc="0" locked="0" layoutInCell="1" allowOverlap="1" wp14:anchorId="35B630AB" wp14:editId="44C66AF8">
            <wp:simplePos x="0" y="0"/>
            <wp:positionH relativeFrom="column">
              <wp:posOffset>1089965</wp:posOffset>
            </wp:positionH>
            <wp:positionV relativeFrom="paragraph">
              <wp:posOffset>163627</wp:posOffset>
            </wp:positionV>
            <wp:extent cx="2203467" cy="1324052"/>
            <wp:effectExtent l="0" t="0" r="6350" b="9525"/>
            <wp:wrapNone/>
            <wp:docPr id="5" name="Image 1" descr="L'OMS reconnaît l'addiction aux jeux vidéo comme une mala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MS reconnaît l'addiction aux jeux vidéo comme une malad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67" cy="13240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31D3A" w14:textId="3C8622A7" w:rsidR="00274AF5" w:rsidRDefault="00274AF5" w:rsidP="006D54A0">
      <w:pPr>
        <w:spacing w:before="120" w:after="120" w:line="276" w:lineRule="auto"/>
        <w:jc w:val="both"/>
        <w:rPr>
          <w:rFonts w:ascii="Verdana" w:hAnsi="Verdana" w:cs="Arial"/>
          <w:b/>
          <w:bCs/>
          <w:sz w:val="20"/>
          <w:szCs w:val="20"/>
        </w:rPr>
      </w:pPr>
    </w:p>
    <w:p w14:paraId="45D4F93C" w14:textId="07591038" w:rsidR="00274AF5" w:rsidRDefault="00274AF5" w:rsidP="006D54A0">
      <w:pPr>
        <w:spacing w:before="120" w:after="120" w:line="276" w:lineRule="auto"/>
        <w:jc w:val="both"/>
        <w:rPr>
          <w:rFonts w:ascii="Verdana" w:hAnsi="Verdana" w:cs="Arial"/>
          <w:b/>
          <w:bCs/>
          <w:sz w:val="20"/>
          <w:szCs w:val="20"/>
        </w:rPr>
      </w:pPr>
    </w:p>
    <w:p w14:paraId="166A515C" w14:textId="67E8049C" w:rsidR="00274AF5" w:rsidRDefault="00274AF5" w:rsidP="006D54A0">
      <w:pPr>
        <w:spacing w:before="120" w:after="120" w:line="276" w:lineRule="auto"/>
        <w:jc w:val="both"/>
        <w:rPr>
          <w:rFonts w:ascii="Verdana" w:hAnsi="Verdana" w:cs="Arial"/>
          <w:b/>
          <w:bCs/>
          <w:sz w:val="20"/>
          <w:szCs w:val="20"/>
        </w:rPr>
      </w:pPr>
    </w:p>
    <w:p w14:paraId="07BFF2BE" w14:textId="07B3B6CD" w:rsidR="00274AF5" w:rsidRDefault="00274AF5" w:rsidP="006D54A0">
      <w:pPr>
        <w:spacing w:before="120" w:after="120" w:line="276" w:lineRule="auto"/>
        <w:jc w:val="both"/>
        <w:rPr>
          <w:rFonts w:ascii="Verdana" w:hAnsi="Verdana" w:cs="Arial"/>
          <w:b/>
          <w:bCs/>
          <w:sz w:val="20"/>
          <w:szCs w:val="20"/>
        </w:rPr>
      </w:pPr>
    </w:p>
    <w:p w14:paraId="69D01EF7" w14:textId="6603C097" w:rsidR="00274AF5" w:rsidRDefault="00274AF5" w:rsidP="006D54A0">
      <w:pPr>
        <w:spacing w:before="120" w:after="120" w:line="276" w:lineRule="auto"/>
        <w:jc w:val="both"/>
        <w:rPr>
          <w:rFonts w:ascii="Verdana" w:hAnsi="Verdana" w:cs="Arial"/>
          <w:b/>
          <w:bCs/>
          <w:sz w:val="20"/>
          <w:szCs w:val="20"/>
        </w:rPr>
      </w:pPr>
    </w:p>
    <w:p w14:paraId="7040CF8E" w14:textId="4E999D39" w:rsidR="00274AF5" w:rsidRDefault="00274AF5" w:rsidP="006D54A0">
      <w:pPr>
        <w:spacing w:before="120" w:after="120" w:line="276" w:lineRule="auto"/>
        <w:jc w:val="both"/>
        <w:rPr>
          <w:rFonts w:ascii="Verdana" w:hAnsi="Verdana" w:cs="Arial"/>
          <w:b/>
          <w:bCs/>
          <w:sz w:val="20"/>
          <w:szCs w:val="20"/>
        </w:rPr>
      </w:pPr>
    </w:p>
    <w:p w14:paraId="29D34803" w14:textId="77777777" w:rsidR="00FB3CCD" w:rsidRDefault="00FB3CCD" w:rsidP="006D54A0">
      <w:pPr>
        <w:spacing w:before="120" w:after="120" w:line="276" w:lineRule="auto"/>
        <w:jc w:val="both"/>
        <w:rPr>
          <w:rFonts w:ascii="Verdana" w:hAnsi="Verdana" w:cs="Arial"/>
          <w:b/>
          <w:bCs/>
          <w:sz w:val="20"/>
          <w:szCs w:val="20"/>
        </w:rPr>
      </w:pPr>
    </w:p>
    <w:p w14:paraId="6F6D6D44" w14:textId="77777777" w:rsidR="00FB3CCD" w:rsidRDefault="00FB3CCD" w:rsidP="006D54A0">
      <w:pPr>
        <w:spacing w:before="120" w:after="120" w:line="276" w:lineRule="auto"/>
        <w:jc w:val="both"/>
        <w:rPr>
          <w:rFonts w:ascii="Verdana" w:hAnsi="Verdana" w:cs="Arial"/>
          <w:b/>
          <w:bCs/>
          <w:sz w:val="20"/>
          <w:szCs w:val="20"/>
        </w:rPr>
      </w:pPr>
    </w:p>
    <w:p w14:paraId="4E3D3784" w14:textId="77777777" w:rsidR="00FB3CCD" w:rsidRPr="00DA4BE6" w:rsidRDefault="00FB3CCD" w:rsidP="006D54A0">
      <w:pPr>
        <w:widowControl w:val="0"/>
        <w:spacing w:before="120" w:after="120" w:line="276" w:lineRule="auto"/>
        <w:jc w:val="both"/>
        <w:rPr>
          <w:rFonts w:ascii="Verdana" w:hAnsi="Verdana"/>
          <w:b/>
          <w:bCs/>
          <w:color w:val="0070C0"/>
        </w:rPr>
      </w:pPr>
      <w:r w:rsidRPr="00DA4BE6">
        <w:rPr>
          <w:rFonts w:ascii="Verdana" w:hAnsi="Verdana"/>
          <w:b/>
          <w:bCs/>
          <w:color w:val="0070C0"/>
        </w:rPr>
        <w:t xml:space="preserve">MODULE– </w:t>
      </w:r>
    </w:p>
    <w:p w14:paraId="1D879647" w14:textId="77777777" w:rsidR="00FB3CCD" w:rsidRPr="00DA4BE6" w:rsidRDefault="00FB3CCD" w:rsidP="006D54A0">
      <w:pPr>
        <w:pStyle w:val="Paragraphedeliste"/>
        <w:numPr>
          <w:ilvl w:val="0"/>
          <w:numId w:val="10"/>
        </w:numPr>
        <w:spacing w:before="120" w:after="120" w:line="276" w:lineRule="auto"/>
        <w:jc w:val="both"/>
        <w:rPr>
          <w:rFonts w:ascii="Verdana" w:hAnsi="Verdana"/>
          <w:b/>
          <w:bCs/>
          <w:color w:val="2E74B5" w:themeColor="accent5" w:themeShade="BF"/>
        </w:rPr>
      </w:pPr>
      <w:r>
        <w:rPr>
          <w:rFonts w:ascii="Verdana" w:hAnsi="Verdana"/>
          <w:b/>
          <w:bCs/>
          <w:color w:val="2E74B5" w:themeColor="accent5" w:themeShade="BF"/>
        </w:rPr>
        <w:t>Addictions</w:t>
      </w:r>
    </w:p>
    <w:p w14:paraId="3FA33406" w14:textId="04BE9314" w:rsidR="00D42571" w:rsidRDefault="00D42571" w:rsidP="006D54A0">
      <w:pPr>
        <w:spacing w:before="120" w:after="120" w:line="276" w:lineRule="auto"/>
        <w:jc w:val="both"/>
        <w:rPr>
          <w:rFonts w:ascii="Verdana" w:hAnsi="Verdana" w:cs="Arial"/>
          <w:b/>
          <w:bCs/>
          <w:sz w:val="20"/>
          <w:szCs w:val="20"/>
        </w:rPr>
      </w:pPr>
      <w:r>
        <w:rPr>
          <w:rFonts w:ascii="Verdana" w:hAnsi="Verdana" w:cs="Arial"/>
          <w:b/>
          <w:bCs/>
          <w:sz w:val="20"/>
          <w:szCs w:val="20"/>
        </w:rPr>
        <w:br w:type="page"/>
      </w:r>
    </w:p>
    <w:p w14:paraId="4B80406B" w14:textId="77777777" w:rsidR="00F508BA" w:rsidRDefault="00F508BA" w:rsidP="006D54A0">
      <w:pPr>
        <w:spacing w:before="120" w:after="120" w:line="276" w:lineRule="auto"/>
        <w:jc w:val="both"/>
        <w:rPr>
          <w:rFonts w:ascii="Verdana" w:hAnsi="Verdana" w:cs="Arial"/>
          <w:b/>
          <w:bCs/>
          <w:sz w:val="20"/>
          <w:szCs w:val="20"/>
        </w:rPr>
      </w:pPr>
    </w:p>
    <w:p w14:paraId="7718A6BF" w14:textId="32473E9C" w:rsidR="00F508BA" w:rsidRDefault="00BA6428" w:rsidP="006D54A0">
      <w:pPr>
        <w:spacing w:before="120" w:after="120" w:line="276" w:lineRule="auto"/>
        <w:jc w:val="both"/>
        <w:rPr>
          <w:rFonts w:ascii="Verdana" w:hAnsi="Verdana" w:cs="Arial"/>
          <w:b/>
          <w:bCs/>
          <w:sz w:val="20"/>
          <w:szCs w:val="20"/>
        </w:rPr>
      </w:pPr>
      <w:r>
        <w:rPr>
          <w:rFonts w:ascii="Verdana" w:hAnsi="Verdana" w:cs="Arial"/>
          <w:b/>
          <w:bCs/>
          <w:sz w:val="20"/>
          <w:szCs w:val="20"/>
        </w:rPr>
        <w:t>TABLE DES MATIERES</w:t>
      </w:r>
    </w:p>
    <w:p w14:paraId="3645E5B5" w14:textId="77777777" w:rsidR="00F508BA" w:rsidRDefault="00F508BA" w:rsidP="006D54A0">
      <w:pPr>
        <w:spacing w:before="120" w:after="120" w:line="276" w:lineRule="auto"/>
        <w:jc w:val="both"/>
        <w:rPr>
          <w:rFonts w:ascii="Verdana" w:hAnsi="Verdana" w:cs="Arial"/>
          <w:b/>
          <w:bCs/>
          <w:sz w:val="20"/>
          <w:szCs w:val="20"/>
        </w:rPr>
      </w:pPr>
    </w:p>
    <w:p w14:paraId="7FE204FB" w14:textId="0B316C95" w:rsidR="00997273" w:rsidRDefault="00F10D45" w:rsidP="00997273">
      <w:pPr>
        <w:pStyle w:val="TM1"/>
        <w:tabs>
          <w:tab w:val="left" w:pos="567"/>
          <w:tab w:val="right" w:leader="dot" w:pos="9346"/>
        </w:tabs>
        <w:rPr>
          <w:rFonts w:eastAsiaTheme="minorEastAsia"/>
          <w:noProof/>
          <w:lang w:eastAsia="fr-CH"/>
        </w:rPr>
      </w:pPr>
      <w:r>
        <w:rPr>
          <w:rFonts w:ascii="Verdana" w:hAnsi="Verdana" w:cs="Arial"/>
          <w:b/>
          <w:bCs/>
          <w:sz w:val="20"/>
          <w:szCs w:val="20"/>
        </w:rPr>
        <w:fldChar w:fldCharType="begin"/>
      </w:r>
      <w:r>
        <w:rPr>
          <w:rFonts w:ascii="Verdana" w:hAnsi="Verdana" w:cs="Arial"/>
          <w:b/>
          <w:bCs/>
          <w:sz w:val="20"/>
          <w:szCs w:val="20"/>
        </w:rPr>
        <w:instrText xml:space="preserve"> TOC \o "1-3" \h \z \u </w:instrText>
      </w:r>
      <w:r>
        <w:rPr>
          <w:rFonts w:ascii="Verdana" w:hAnsi="Verdana" w:cs="Arial"/>
          <w:b/>
          <w:bCs/>
          <w:sz w:val="20"/>
          <w:szCs w:val="20"/>
        </w:rPr>
        <w:fldChar w:fldCharType="separate"/>
      </w:r>
      <w:hyperlink w:anchor="_Toc130379184" w:history="1">
        <w:r w:rsidR="00997273" w:rsidRPr="00752936">
          <w:rPr>
            <w:rStyle w:val="Lienhypertexte"/>
            <w:rFonts w:ascii="Verdana" w:hAnsi="Verdana" w:cs="Arial"/>
            <w:b/>
            <w:bCs/>
            <w:iCs/>
            <w:noProof/>
            <w:lang w:val="fr-FR" w:eastAsia="zh-CN"/>
          </w:rPr>
          <w:t>I.</w:t>
        </w:r>
        <w:r w:rsidR="00997273">
          <w:rPr>
            <w:rFonts w:eastAsiaTheme="minorEastAsia"/>
            <w:noProof/>
            <w:lang w:eastAsia="fr-CH"/>
          </w:rPr>
          <w:tab/>
        </w:r>
        <w:r w:rsidR="00997273" w:rsidRPr="00752936">
          <w:rPr>
            <w:rStyle w:val="Lienhypertexte"/>
            <w:rFonts w:ascii="Verdana" w:hAnsi="Verdana" w:cs="Arial"/>
            <w:b/>
            <w:bCs/>
            <w:iCs/>
            <w:noProof/>
            <w:lang w:val="fr-FR" w:eastAsia="zh-CN"/>
          </w:rPr>
          <w:t>Bases « légales » internationales</w:t>
        </w:r>
        <w:r w:rsidR="00997273">
          <w:rPr>
            <w:noProof/>
            <w:webHidden/>
          </w:rPr>
          <w:tab/>
        </w:r>
        <w:r w:rsidR="00997273">
          <w:rPr>
            <w:noProof/>
            <w:webHidden/>
          </w:rPr>
          <w:fldChar w:fldCharType="begin"/>
        </w:r>
        <w:r w:rsidR="00997273">
          <w:rPr>
            <w:noProof/>
            <w:webHidden/>
          </w:rPr>
          <w:instrText xml:space="preserve"> PAGEREF _Toc130379184 \h </w:instrText>
        </w:r>
        <w:r w:rsidR="00997273">
          <w:rPr>
            <w:noProof/>
            <w:webHidden/>
          </w:rPr>
        </w:r>
        <w:r w:rsidR="00997273">
          <w:rPr>
            <w:noProof/>
            <w:webHidden/>
          </w:rPr>
          <w:fldChar w:fldCharType="separate"/>
        </w:r>
        <w:r w:rsidR="00997273">
          <w:rPr>
            <w:noProof/>
            <w:webHidden/>
          </w:rPr>
          <w:t>3</w:t>
        </w:r>
        <w:r w:rsidR="00997273">
          <w:rPr>
            <w:noProof/>
            <w:webHidden/>
          </w:rPr>
          <w:fldChar w:fldCharType="end"/>
        </w:r>
      </w:hyperlink>
    </w:p>
    <w:p w14:paraId="1CE611B0" w14:textId="148AA0D5" w:rsidR="00997273" w:rsidRDefault="00997273" w:rsidP="00997273">
      <w:pPr>
        <w:pStyle w:val="TM1"/>
        <w:tabs>
          <w:tab w:val="left" w:pos="567"/>
          <w:tab w:val="left" w:pos="660"/>
          <w:tab w:val="right" w:leader="dot" w:pos="9346"/>
        </w:tabs>
        <w:rPr>
          <w:rFonts w:eastAsiaTheme="minorEastAsia"/>
          <w:noProof/>
          <w:lang w:eastAsia="fr-CH"/>
        </w:rPr>
      </w:pPr>
      <w:hyperlink w:anchor="_Toc130379185" w:history="1">
        <w:r w:rsidRPr="00752936">
          <w:rPr>
            <w:rStyle w:val="Lienhypertexte"/>
            <w:rFonts w:ascii="Verdana" w:hAnsi="Verdana" w:cs="Arial"/>
            <w:b/>
            <w:bCs/>
            <w:iCs/>
            <w:noProof/>
            <w:lang w:val="fr-FR" w:eastAsia="zh-CN"/>
          </w:rPr>
          <w:t>II.</w:t>
        </w:r>
        <w:r>
          <w:rPr>
            <w:rFonts w:eastAsiaTheme="minorEastAsia"/>
            <w:noProof/>
            <w:lang w:eastAsia="fr-CH"/>
          </w:rPr>
          <w:tab/>
        </w:r>
        <w:r w:rsidRPr="00752936">
          <w:rPr>
            <w:rStyle w:val="Lienhypertexte"/>
            <w:rFonts w:ascii="Verdana" w:hAnsi="Verdana" w:cs="Arial"/>
            <w:b/>
            <w:bCs/>
            <w:iCs/>
            <w:noProof/>
            <w:lang w:val="fr-FR" w:eastAsia="zh-CN"/>
          </w:rPr>
          <w:t>Bases légales suisses</w:t>
        </w:r>
        <w:r>
          <w:rPr>
            <w:noProof/>
            <w:webHidden/>
          </w:rPr>
          <w:tab/>
        </w:r>
        <w:r>
          <w:rPr>
            <w:noProof/>
            <w:webHidden/>
          </w:rPr>
          <w:fldChar w:fldCharType="begin"/>
        </w:r>
        <w:r>
          <w:rPr>
            <w:noProof/>
            <w:webHidden/>
          </w:rPr>
          <w:instrText xml:space="preserve"> PAGEREF _Toc130379185 \h </w:instrText>
        </w:r>
        <w:r>
          <w:rPr>
            <w:noProof/>
            <w:webHidden/>
          </w:rPr>
        </w:r>
        <w:r>
          <w:rPr>
            <w:noProof/>
            <w:webHidden/>
          </w:rPr>
          <w:fldChar w:fldCharType="separate"/>
        </w:r>
        <w:r>
          <w:rPr>
            <w:noProof/>
            <w:webHidden/>
          </w:rPr>
          <w:t>3</w:t>
        </w:r>
        <w:r>
          <w:rPr>
            <w:noProof/>
            <w:webHidden/>
          </w:rPr>
          <w:fldChar w:fldCharType="end"/>
        </w:r>
      </w:hyperlink>
    </w:p>
    <w:p w14:paraId="41415432" w14:textId="027B8D37" w:rsidR="00997273" w:rsidRDefault="00997273" w:rsidP="00997273">
      <w:pPr>
        <w:pStyle w:val="TM1"/>
        <w:tabs>
          <w:tab w:val="left" w:pos="567"/>
          <w:tab w:val="left" w:pos="880"/>
          <w:tab w:val="right" w:leader="dot" w:pos="9346"/>
        </w:tabs>
        <w:rPr>
          <w:rFonts w:eastAsiaTheme="minorEastAsia"/>
          <w:noProof/>
          <w:lang w:eastAsia="fr-CH"/>
        </w:rPr>
      </w:pPr>
      <w:hyperlink w:anchor="_Toc130379186" w:history="1">
        <w:r w:rsidRPr="00752936">
          <w:rPr>
            <w:rStyle w:val="Lienhypertexte"/>
            <w:rFonts w:ascii="Verdana" w:hAnsi="Verdana" w:cs="Arial"/>
            <w:b/>
            <w:bCs/>
            <w:iCs/>
            <w:noProof/>
            <w:lang w:val="fr-FR" w:eastAsia="zh-CN"/>
          </w:rPr>
          <w:t>III.</w:t>
        </w:r>
        <w:r>
          <w:rPr>
            <w:rFonts w:eastAsiaTheme="minorEastAsia"/>
            <w:noProof/>
            <w:lang w:eastAsia="fr-CH"/>
          </w:rPr>
          <w:tab/>
        </w:r>
        <w:r w:rsidRPr="00752936">
          <w:rPr>
            <w:rStyle w:val="Lienhypertexte"/>
            <w:rFonts w:ascii="Verdana" w:hAnsi="Verdana" w:cs="Arial"/>
            <w:b/>
            <w:bCs/>
            <w:iCs/>
            <w:noProof/>
            <w:lang w:val="fr-FR" w:eastAsia="zh-CN"/>
          </w:rPr>
          <w:t>Résumé</w:t>
        </w:r>
        <w:r>
          <w:rPr>
            <w:noProof/>
            <w:webHidden/>
          </w:rPr>
          <w:tab/>
        </w:r>
        <w:r>
          <w:rPr>
            <w:noProof/>
            <w:webHidden/>
          </w:rPr>
          <w:fldChar w:fldCharType="begin"/>
        </w:r>
        <w:r>
          <w:rPr>
            <w:noProof/>
            <w:webHidden/>
          </w:rPr>
          <w:instrText xml:space="preserve"> PAGEREF _Toc130379186 \h </w:instrText>
        </w:r>
        <w:r>
          <w:rPr>
            <w:noProof/>
            <w:webHidden/>
          </w:rPr>
        </w:r>
        <w:r>
          <w:rPr>
            <w:noProof/>
            <w:webHidden/>
          </w:rPr>
          <w:fldChar w:fldCharType="separate"/>
        </w:r>
        <w:r>
          <w:rPr>
            <w:noProof/>
            <w:webHidden/>
          </w:rPr>
          <w:t>4</w:t>
        </w:r>
        <w:r>
          <w:rPr>
            <w:noProof/>
            <w:webHidden/>
          </w:rPr>
          <w:fldChar w:fldCharType="end"/>
        </w:r>
      </w:hyperlink>
    </w:p>
    <w:p w14:paraId="0247D20B" w14:textId="60702E93" w:rsidR="00997273" w:rsidRDefault="00997273">
      <w:pPr>
        <w:pStyle w:val="TM2"/>
        <w:tabs>
          <w:tab w:val="right" w:leader="dot" w:pos="9346"/>
        </w:tabs>
        <w:rPr>
          <w:rFonts w:eastAsiaTheme="minorEastAsia"/>
          <w:noProof/>
          <w:lang w:eastAsia="fr-CH"/>
        </w:rPr>
      </w:pPr>
      <w:hyperlink w:anchor="_Toc130379187" w:history="1">
        <w:r w:rsidRPr="00752936">
          <w:rPr>
            <w:rStyle w:val="Lienhypertexte"/>
            <w:noProof/>
          </w:rPr>
          <w:t>Drogues illégales</w:t>
        </w:r>
        <w:r>
          <w:rPr>
            <w:noProof/>
            <w:webHidden/>
          </w:rPr>
          <w:tab/>
        </w:r>
        <w:r>
          <w:rPr>
            <w:noProof/>
            <w:webHidden/>
          </w:rPr>
          <w:fldChar w:fldCharType="begin"/>
        </w:r>
        <w:r>
          <w:rPr>
            <w:noProof/>
            <w:webHidden/>
          </w:rPr>
          <w:instrText xml:space="preserve"> PAGEREF _Toc130379187 \h </w:instrText>
        </w:r>
        <w:r>
          <w:rPr>
            <w:noProof/>
            <w:webHidden/>
          </w:rPr>
        </w:r>
        <w:r>
          <w:rPr>
            <w:noProof/>
            <w:webHidden/>
          </w:rPr>
          <w:fldChar w:fldCharType="separate"/>
        </w:r>
        <w:r>
          <w:rPr>
            <w:noProof/>
            <w:webHidden/>
          </w:rPr>
          <w:t>4</w:t>
        </w:r>
        <w:r>
          <w:rPr>
            <w:noProof/>
            <w:webHidden/>
          </w:rPr>
          <w:fldChar w:fldCharType="end"/>
        </w:r>
      </w:hyperlink>
    </w:p>
    <w:p w14:paraId="1851953D" w14:textId="52A763F7" w:rsidR="00997273" w:rsidRDefault="00997273">
      <w:pPr>
        <w:pStyle w:val="TM2"/>
        <w:tabs>
          <w:tab w:val="right" w:leader="dot" w:pos="9346"/>
        </w:tabs>
        <w:rPr>
          <w:rFonts w:eastAsiaTheme="minorEastAsia"/>
          <w:noProof/>
          <w:lang w:eastAsia="fr-CH"/>
        </w:rPr>
      </w:pPr>
      <w:hyperlink w:anchor="_Toc130379188" w:history="1">
        <w:r w:rsidRPr="00752936">
          <w:rPr>
            <w:rStyle w:val="Lienhypertexte"/>
            <w:noProof/>
          </w:rPr>
          <w:t>Cannabis</w:t>
        </w:r>
        <w:r>
          <w:rPr>
            <w:noProof/>
            <w:webHidden/>
          </w:rPr>
          <w:tab/>
        </w:r>
        <w:r>
          <w:rPr>
            <w:noProof/>
            <w:webHidden/>
          </w:rPr>
          <w:fldChar w:fldCharType="begin"/>
        </w:r>
        <w:r>
          <w:rPr>
            <w:noProof/>
            <w:webHidden/>
          </w:rPr>
          <w:instrText xml:space="preserve"> PAGEREF _Toc130379188 \h </w:instrText>
        </w:r>
        <w:r>
          <w:rPr>
            <w:noProof/>
            <w:webHidden/>
          </w:rPr>
        </w:r>
        <w:r>
          <w:rPr>
            <w:noProof/>
            <w:webHidden/>
          </w:rPr>
          <w:fldChar w:fldCharType="separate"/>
        </w:r>
        <w:r>
          <w:rPr>
            <w:noProof/>
            <w:webHidden/>
          </w:rPr>
          <w:t>4</w:t>
        </w:r>
        <w:r>
          <w:rPr>
            <w:noProof/>
            <w:webHidden/>
          </w:rPr>
          <w:fldChar w:fldCharType="end"/>
        </w:r>
      </w:hyperlink>
    </w:p>
    <w:p w14:paraId="0CD70335" w14:textId="7DE367CB" w:rsidR="00997273" w:rsidRDefault="00997273">
      <w:pPr>
        <w:pStyle w:val="TM2"/>
        <w:tabs>
          <w:tab w:val="right" w:leader="dot" w:pos="9346"/>
        </w:tabs>
        <w:rPr>
          <w:rFonts w:eastAsiaTheme="minorEastAsia"/>
          <w:noProof/>
          <w:lang w:eastAsia="fr-CH"/>
        </w:rPr>
      </w:pPr>
      <w:hyperlink w:anchor="_Toc130379189" w:history="1">
        <w:r w:rsidRPr="00752936">
          <w:rPr>
            <w:rStyle w:val="Lienhypertexte"/>
            <w:noProof/>
          </w:rPr>
          <w:t>Alcool</w:t>
        </w:r>
        <w:r>
          <w:rPr>
            <w:noProof/>
            <w:webHidden/>
          </w:rPr>
          <w:tab/>
        </w:r>
        <w:r>
          <w:rPr>
            <w:noProof/>
            <w:webHidden/>
          </w:rPr>
          <w:fldChar w:fldCharType="begin"/>
        </w:r>
        <w:r>
          <w:rPr>
            <w:noProof/>
            <w:webHidden/>
          </w:rPr>
          <w:instrText xml:space="preserve"> PAGEREF _Toc130379189 \h </w:instrText>
        </w:r>
        <w:r>
          <w:rPr>
            <w:noProof/>
            <w:webHidden/>
          </w:rPr>
        </w:r>
        <w:r>
          <w:rPr>
            <w:noProof/>
            <w:webHidden/>
          </w:rPr>
          <w:fldChar w:fldCharType="separate"/>
        </w:r>
        <w:r>
          <w:rPr>
            <w:noProof/>
            <w:webHidden/>
          </w:rPr>
          <w:t>4</w:t>
        </w:r>
        <w:r>
          <w:rPr>
            <w:noProof/>
            <w:webHidden/>
          </w:rPr>
          <w:fldChar w:fldCharType="end"/>
        </w:r>
      </w:hyperlink>
    </w:p>
    <w:p w14:paraId="2FA2BBA8" w14:textId="0A43D213" w:rsidR="00997273" w:rsidRDefault="00997273">
      <w:pPr>
        <w:pStyle w:val="TM2"/>
        <w:tabs>
          <w:tab w:val="right" w:leader="dot" w:pos="9346"/>
        </w:tabs>
        <w:rPr>
          <w:rFonts w:eastAsiaTheme="minorEastAsia"/>
          <w:noProof/>
          <w:lang w:eastAsia="fr-CH"/>
        </w:rPr>
      </w:pPr>
      <w:hyperlink w:anchor="_Toc130379190" w:history="1">
        <w:r w:rsidRPr="00752936">
          <w:rPr>
            <w:rStyle w:val="Lienhypertexte"/>
            <w:noProof/>
          </w:rPr>
          <w:t>Tabac</w:t>
        </w:r>
        <w:r>
          <w:rPr>
            <w:noProof/>
            <w:webHidden/>
          </w:rPr>
          <w:tab/>
        </w:r>
        <w:r>
          <w:rPr>
            <w:noProof/>
            <w:webHidden/>
          </w:rPr>
          <w:fldChar w:fldCharType="begin"/>
        </w:r>
        <w:r>
          <w:rPr>
            <w:noProof/>
            <w:webHidden/>
          </w:rPr>
          <w:instrText xml:space="preserve"> PAGEREF _Toc130379190 \h </w:instrText>
        </w:r>
        <w:r>
          <w:rPr>
            <w:noProof/>
            <w:webHidden/>
          </w:rPr>
        </w:r>
        <w:r>
          <w:rPr>
            <w:noProof/>
            <w:webHidden/>
          </w:rPr>
          <w:fldChar w:fldCharType="separate"/>
        </w:r>
        <w:r>
          <w:rPr>
            <w:noProof/>
            <w:webHidden/>
          </w:rPr>
          <w:t>4</w:t>
        </w:r>
        <w:r>
          <w:rPr>
            <w:noProof/>
            <w:webHidden/>
          </w:rPr>
          <w:fldChar w:fldCharType="end"/>
        </w:r>
      </w:hyperlink>
    </w:p>
    <w:p w14:paraId="1105E6BD" w14:textId="68A2CB28" w:rsidR="00997273" w:rsidRDefault="00997273">
      <w:pPr>
        <w:pStyle w:val="TM2"/>
        <w:tabs>
          <w:tab w:val="right" w:leader="dot" w:pos="9346"/>
        </w:tabs>
        <w:rPr>
          <w:rFonts w:eastAsiaTheme="minorEastAsia"/>
          <w:noProof/>
          <w:lang w:eastAsia="fr-CH"/>
        </w:rPr>
      </w:pPr>
      <w:hyperlink w:anchor="_Toc130379191" w:history="1">
        <w:r w:rsidRPr="00752936">
          <w:rPr>
            <w:rStyle w:val="Lienhypertexte"/>
            <w:noProof/>
          </w:rPr>
          <w:t>Dopage</w:t>
        </w:r>
        <w:r>
          <w:rPr>
            <w:noProof/>
            <w:webHidden/>
          </w:rPr>
          <w:tab/>
        </w:r>
        <w:r>
          <w:rPr>
            <w:noProof/>
            <w:webHidden/>
          </w:rPr>
          <w:fldChar w:fldCharType="begin"/>
        </w:r>
        <w:r>
          <w:rPr>
            <w:noProof/>
            <w:webHidden/>
          </w:rPr>
          <w:instrText xml:space="preserve"> PAGEREF _Toc130379191 \h </w:instrText>
        </w:r>
        <w:r>
          <w:rPr>
            <w:noProof/>
            <w:webHidden/>
          </w:rPr>
        </w:r>
        <w:r>
          <w:rPr>
            <w:noProof/>
            <w:webHidden/>
          </w:rPr>
          <w:fldChar w:fldCharType="separate"/>
        </w:r>
        <w:r>
          <w:rPr>
            <w:noProof/>
            <w:webHidden/>
          </w:rPr>
          <w:t>4</w:t>
        </w:r>
        <w:r>
          <w:rPr>
            <w:noProof/>
            <w:webHidden/>
          </w:rPr>
          <w:fldChar w:fldCharType="end"/>
        </w:r>
      </w:hyperlink>
    </w:p>
    <w:p w14:paraId="2A7197CF" w14:textId="5937C00E" w:rsidR="00997273" w:rsidRDefault="00997273">
      <w:pPr>
        <w:pStyle w:val="TM2"/>
        <w:tabs>
          <w:tab w:val="right" w:leader="dot" w:pos="9346"/>
        </w:tabs>
        <w:rPr>
          <w:rFonts w:eastAsiaTheme="minorEastAsia"/>
          <w:noProof/>
          <w:lang w:eastAsia="fr-CH"/>
        </w:rPr>
      </w:pPr>
      <w:hyperlink w:anchor="_Toc130379192" w:history="1">
        <w:r w:rsidRPr="00752936">
          <w:rPr>
            <w:rStyle w:val="Lienhypertexte"/>
            <w:noProof/>
          </w:rPr>
          <w:t>Benzodiazépines</w:t>
        </w:r>
        <w:r>
          <w:rPr>
            <w:noProof/>
            <w:webHidden/>
          </w:rPr>
          <w:tab/>
        </w:r>
        <w:r>
          <w:rPr>
            <w:noProof/>
            <w:webHidden/>
          </w:rPr>
          <w:fldChar w:fldCharType="begin"/>
        </w:r>
        <w:r>
          <w:rPr>
            <w:noProof/>
            <w:webHidden/>
          </w:rPr>
          <w:instrText xml:space="preserve"> PAGEREF _Toc130379192 \h </w:instrText>
        </w:r>
        <w:r>
          <w:rPr>
            <w:noProof/>
            <w:webHidden/>
          </w:rPr>
        </w:r>
        <w:r>
          <w:rPr>
            <w:noProof/>
            <w:webHidden/>
          </w:rPr>
          <w:fldChar w:fldCharType="separate"/>
        </w:r>
        <w:r>
          <w:rPr>
            <w:noProof/>
            <w:webHidden/>
          </w:rPr>
          <w:t>4</w:t>
        </w:r>
        <w:r>
          <w:rPr>
            <w:noProof/>
            <w:webHidden/>
          </w:rPr>
          <w:fldChar w:fldCharType="end"/>
        </w:r>
      </w:hyperlink>
    </w:p>
    <w:p w14:paraId="62D9AE0C" w14:textId="2EB19DD0" w:rsidR="00997273" w:rsidRDefault="00997273">
      <w:pPr>
        <w:pStyle w:val="TM2"/>
        <w:tabs>
          <w:tab w:val="right" w:leader="dot" w:pos="9346"/>
        </w:tabs>
        <w:rPr>
          <w:rFonts w:eastAsiaTheme="minorEastAsia"/>
          <w:noProof/>
          <w:lang w:eastAsia="fr-CH"/>
        </w:rPr>
      </w:pPr>
      <w:hyperlink w:anchor="_Toc130379193" w:history="1">
        <w:r w:rsidRPr="00752936">
          <w:rPr>
            <w:rStyle w:val="Lienhypertexte"/>
            <w:noProof/>
          </w:rPr>
          <w:t>Jeux d’argent</w:t>
        </w:r>
        <w:r>
          <w:rPr>
            <w:noProof/>
            <w:webHidden/>
          </w:rPr>
          <w:tab/>
        </w:r>
        <w:r>
          <w:rPr>
            <w:noProof/>
            <w:webHidden/>
          </w:rPr>
          <w:fldChar w:fldCharType="begin"/>
        </w:r>
        <w:r>
          <w:rPr>
            <w:noProof/>
            <w:webHidden/>
          </w:rPr>
          <w:instrText xml:space="preserve"> PAGEREF _Toc130379193 \h </w:instrText>
        </w:r>
        <w:r>
          <w:rPr>
            <w:noProof/>
            <w:webHidden/>
          </w:rPr>
        </w:r>
        <w:r>
          <w:rPr>
            <w:noProof/>
            <w:webHidden/>
          </w:rPr>
          <w:fldChar w:fldCharType="separate"/>
        </w:r>
        <w:r>
          <w:rPr>
            <w:noProof/>
            <w:webHidden/>
          </w:rPr>
          <w:t>4</w:t>
        </w:r>
        <w:r>
          <w:rPr>
            <w:noProof/>
            <w:webHidden/>
          </w:rPr>
          <w:fldChar w:fldCharType="end"/>
        </w:r>
      </w:hyperlink>
    </w:p>
    <w:p w14:paraId="53F6F7FF" w14:textId="16917CFC" w:rsidR="00997273" w:rsidRDefault="00997273">
      <w:pPr>
        <w:pStyle w:val="TM2"/>
        <w:tabs>
          <w:tab w:val="right" w:leader="dot" w:pos="9346"/>
        </w:tabs>
        <w:rPr>
          <w:rFonts w:eastAsiaTheme="minorEastAsia"/>
          <w:noProof/>
          <w:lang w:eastAsia="fr-CH"/>
        </w:rPr>
      </w:pPr>
      <w:hyperlink w:anchor="_Toc130379194" w:history="1">
        <w:r w:rsidRPr="00752936">
          <w:rPr>
            <w:rStyle w:val="Lienhypertexte"/>
            <w:noProof/>
          </w:rPr>
          <w:t>En résumé, ironiquement parlant</w:t>
        </w:r>
        <w:r>
          <w:rPr>
            <w:noProof/>
            <w:webHidden/>
          </w:rPr>
          <w:tab/>
        </w:r>
        <w:r>
          <w:rPr>
            <w:noProof/>
            <w:webHidden/>
          </w:rPr>
          <w:fldChar w:fldCharType="begin"/>
        </w:r>
        <w:r>
          <w:rPr>
            <w:noProof/>
            <w:webHidden/>
          </w:rPr>
          <w:instrText xml:space="preserve"> PAGEREF _Toc130379194 \h </w:instrText>
        </w:r>
        <w:r>
          <w:rPr>
            <w:noProof/>
            <w:webHidden/>
          </w:rPr>
        </w:r>
        <w:r>
          <w:rPr>
            <w:noProof/>
            <w:webHidden/>
          </w:rPr>
          <w:fldChar w:fldCharType="separate"/>
        </w:r>
        <w:r>
          <w:rPr>
            <w:noProof/>
            <w:webHidden/>
          </w:rPr>
          <w:t>4</w:t>
        </w:r>
        <w:r>
          <w:rPr>
            <w:noProof/>
            <w:webHidden/>
          </w:rPr>
          <w:fldChar w:fldCharType="end"/>
        </w:r>
      </w:hyperlink>
    </w:p>
    <w:p w14:paraId="4494D238" w14:textId="0D49E622" w:rsidR="00997273" w:rsidRDefault="00997273">
      <w:pPr>
        <w:pStyle w:val="TM2"/>
        <w:tabs>
          <w:tab w:val="right" w:leader="dot" w:pos="9346"/>
        </w:tabs>
        <w:rPr>
          <w:rFonts w:eastAsiaTheme="minorEastAsia"/>
          <w:noProof/>
          <w:lang w:eastAsia="fr-CH"/>
        </w:rPr>
      </w:pPr>
      <w:hyperlink w:anchor="_Toc130379195" w:history="1">
        <w:r w:rsidRPr="00752936">
          <w:rPr>
            <w:rStyle w:val="Lienhypertexte"/>
            <w:noProof/>
          </w:rPr>
          <w:t>Prohibition des drogues illégales : dates-clés</w:t>
        </w:r>
        <w:r>
          <w:rPr>
            <w:noProof/>
            <w:webHidden/>
          </w:rPr>
          <w:tab/>
        </w:r>
        <w:r>
          <w:rPr>
            <w:noProof/>
            <w:webHidden/>
          </w:rPr>
          <w:fldChar w:fldCharType="begin"/>
        </w:r>
        <w:r>
          <w:rPr>
            <w:noProof/>
            <w:webHidden/>
          </w:rPr>
          <w:instrText xml:space="preserve"> PAGEREF _Toc130379195 \h </w:instrText>
        </w:r>
        <w:r>
          <w:rPr>
            <w:noProof/>
            <w:webHidden/>
          </w:rPr>
        </w:r>
        <w:r>
          <w:rPr>
            <w:noProof/>
            <w:webHidden/>
          </w:rPr>
          <w:fldChar w:fldCharType="separate"/>
        </w:r>
        <w:r>
          <w:rPr>
            <w:noProof/>
            <w:webHidden/>
          </w:rPr>
          <w:t>5</w:t>
        </w:r>
        <w:r>
          <w:rPr>
            <w:noProof/>
            <w:webHidden/>
          </w:rPr>
          <w:fldChar w:fldCharType="end"/>
        </w:r>
      </w:hyperlink>
    </w:p>
    <w:p w14:paraId="1C518D5B" w14:textId="7F525CF0" w:rsidR="00997273" w:rsidRDefault="00997273">
      <w:pPr>
        <w:pStyle w:val="TM2"/>
        <w:tabs>
          <w:tab w:val="right" w:leader="dot" w:pos="9346"/>
        </w:tabs>
        <w:rPr>
          <w:rFonts w:eastAsiaTheme="minorEastAsia"/>
          <w:noProof/>
          <w:lang w:eastAsia="fr-CH"/>
        </w:rPr>
      </w:pPr>
      <w:hyperlink w:anchor="_Toc130379196" w:history="1">
        <w:r w:rsidRPr="00752936">
          <w:rPr>
            <w:rStyle w:val="Lienhypertexte"/>
            <w:noProof/>
          </w:rPr>
          <w:t>Le contexte politique</w:t>
        </w:r>
        <w:r>
          <w:rPr>
            <w:noProof/>
            <w:webHidden/>
          </w:rPr>
          <w:tab/>
        </w:r>
        <w:r>
          <w:rPr>
            <w:noProof/>
            <w:webHidden/>
          </w:rPr>
          <w:fldChar w:fldCharType="begin"/>
        </w:r>
        <w:r>
          <w:rPr>
            <w:noProof/>
            <w:webHidden/>
          </w:rPr>
          <w:instrText xml:space="preserve"> PAGEREF _Toc130379196 \h </w:instrText>
        </w:r>
        <w:r>
          <w:rPr>
            <w:noProof/>
            <w:webHidden/>
          </w:rPr>
        </w:r>
        <w:r>
          <w:rPr>
            <w:noProof/>
            <w:webHidden/>
          </w:rPr>
          <w:fldChar w:fldCharType="separate"/>
        </w:r>
        <w:r>
          <w:rPr>
            <w:noProof/>
            <w:webHidden/>
          </w:rPr>
          <w:t>6</w:t>
        </w:r>
        <w:r>
          <w:rPr>
            <w:noProof/>
            <w:webHidden/>
          </w:rPr>
          <w:fldChar w:fldCharType="end"/>
        </w:r>
      </w:hyperlink>
    </w:p>
    <w:p w14:paraId="7FA89BD2" w14:textId="293B3C44" w:rsidR="00997273" w:rsidRDefault="00997273">
      <w:pPr>
        <w:pStyle w:val="TM2"/>
        <w:tabs>
          <w:tab w:val="right" w:leader="dot" w:pos="9346"/>
        </w:tabs>
        <w:rPr>
          <w:rFonts w:eastAsiaTheme="minorEastAsia"/>
          <w:noProof/>
          <w:lang w:eastAsia="fr-CH"/>
        </w:rPr>
      </w:pPr>
      <w:hyperlink w:anchor="_Toc130379197" w:history="1">
        <w:r w:rsidRPr="00752936">
          <w:rPr>
            <w:rStyle w:val="Lienhypertexte"/>
            <w:noProof/>
          </w:rPr>
          <w:t>La politique des 4 piliers</w:t>
        </w:r>
        <w:r>
          <w:rPr>
            <w:noProof/>
            <w:webHidden/>
          </w:rPr>
          <w:tab/>
        </w:r>
        <w:r>
          <w:rPr>
            <w:noProof/>
            <w:webHidden/>
          </w:rPr>
          <w:fldChar w:fldCharType="begin"/>
        </w:r>
        <w:r>
          <w:rPr>
            <w:noProof/>
            <w:webHidden/>
          </w:rPr>
          <w:instrText xml:space="preserve"> PAGEREF _Toc130379197 \h </w:instrText>
        </w:r>
        <w:r>
          <w:rPr>
            <w:noProof/>
            <w:webHidden/>
          </w:rPr>
        </w:r>
        <w:r>
          <w:rPr>
            <w:noProof/>
            <w:webHidden/>
          </w:rPr>
          <w:fldChar w:fldCharType="separate"/>
        </w:r>
        <w:r>
          <w:rPr>
            <w:noProof/>
            <w:webHidden/>
          </w:rPr>
          <w:t>6</w:t>
        </w:r>
        <w:r>
          <w:rPr>
            <w:noProof/>
            <w:webHidden/>
          </w:rPr>
          <w:fldChar w:fldCharType="end"/>
        </w:r>
      </w:hyperlink>
    </w:p>
    <w:p w14:paraId="026EB73C" w14:textId="68E3B3F9" w:rsidR="00997273" w:rsidRDefault="00997273">
      <w:pPr>
        <w:pStyle w:val="TM2"/>
        <w:tabs>
          <w:tab w:val="right" w:leader="dot" w:pos="9346"/>
        </w:tabs>
        <w:rPr>
          <w:rFonts w:eastAsiaTheme="minorEastAsia"/>
          <w:noProof/>
          <w:lang w:eastAsia="fr-CH"/>
        </w:rPr>
      </w:pPr>
      <w:hyperlink w:anchor="_Toc130379198" w:history="1">
        <w:r w:rsidRPr="00752936">
          <w:rPr>
            <w:rStyle w:val="Lienhypertexte"/>
            <w:noProof/>
          </w:rPr>
          <w:t>Réduction des problèmes d’alcool : mesures structurelles</w:t>
        </w:r>
        <w:r>
          <w:rPr>
            <w:noProof/>
            <w:webHidden/>
          </w:rPr>
          <w:tab/>
        </w:r>
        <w:r>
          <w:rPr>
            <w:noProof/>
            <w:webHidden/>
          </w:rPr>
          <w:fldChar w:fldCharType="begin"/>
        </w:r>
        <w:r>
          <w:rPr>
            <w:noProof/>
            <w:webHidden/>
          </w:rPr>
          <w:instrText xml:space="preserve"> PAGEREF _Toc130379198 \h </w:instrText>
        </w:r>
        <w:r>
          <w:rPr>
            <w:noProof/>
            <w:webHidden/>
          </w:rPr>
        </w:r>
        <w:r>
          <w:rPr>
            <w:noProof/>
            <w:webHidden/>
          </w:rPr>
          <w:fldChar w:fldCharType="separate"/>
        </w:r>
        <w:r>
          <w:rPr>
            <w:noProof/>
            <w:webHidden/>
          </w:rPr>
          <w:t>8</w:t>
        </w:r>
        <w:r>
          <w:rPr>
            <w:noProof/>
            <w:webHidden/>
          </w:rPr>
          <w:fldChar w:fldCharType="end"/>
        </w:r>
      </w:hyperlink>
    </w:p>
    <w:p w14:paraId="6C783AA8" w14:textId="75B0395C" w:rsidR="00997273" w:rsidRDefault="00997273">
      <w:pPr>
        <w:pStyle w:val="TM2"/>
        <w:tabs>
          <w:tab w:val="right" w:leader="dot" w:pos="9346"/>
        </w:tabs>
        <w:rPr>
          <w:rFonts w:eastAsiaTheme="minorEastAsia"/>
          <w:noProof/>
          <w:lang w:eastAsia="fr-CH"/>
        </w:rPr>
      </w:pPr>
      <w:hyperlink w:anchor="_Toc130379199" w:history="1">
        <w:r w:rsidRPr="00752936">
          <w:rPr>
            <w:rStyle w:val="Lienhypertexte"/>
            <w:noProof/>
          </w:rPr>
          <w:t>Vers une normalisation des drogues</w:t>
        </w:r>
        <w:r>
          <w:rPr>
            <w:noProof/>
            <w:webHidden/>
          </w:rPr>
          <w:tab/>
        </w:r>
        <w:r>
          <w:rPr>
            <w:noProof/>
            <w:webHidden/>
          </w:rPr>
          <w:fldChar w:fldCharType="begin"/>
        </w:r>
        <w:r>
          <w:rPr>
            <w:noProof/>
            <w:webHidden/>
          </w:rPr>
          <w:instrText xml:space="preserve"> PAGEREF _Toc130379199 \h </w:instrText>
        </w:r>
        <w:r>
          <w:rPr>
            <w:noProof/>
            <w:webHidden/>
          </w:rPr>
        </w:r>
        <w:r>
          <w:rPr>
            <w:noProof/>
            <w:webHidden/>
          </w:rPr>
          <w:fldChar w:fldCharType="separate"/>
        </w:r>
        <w:r>
          <w:rPr>
            <w:noProof/>
            <w:webHidden/>
          </w:rPr>
          <w:t>8</w:t>
        </w:r>
        <w:r>
          <w:rPr>
            <w:noProof/>
            <w:webHidden/>
          </w:rPr>
          <w:fldChar w:fldCharType="end"/>
        </w:r>
      </w:hyperlink>
    </w:p>
    <w:p w14:paraId="5B6F3246" w14:textId="2845A49E" w:rsidR="00997273" w:rsidRDefault="00997273">
      <w:pPr>
        <w:pStyle w:val="TM2"/>
        <w:tabs>
          <w:tab w:val="right" w:leader="dot" w:pos="9346"/>
        </w:tabs>
        <w:rPr>
          <w:rFonts w:eastAsiaTheme="minorEastAsia"/>
          <w:noProof/>
          <w:lang w:eastAsia="fr-CH"/>
        </w:rPr>
      </w:pPr>
      <w:hyperlink w:anchor="_Toc130379200" w:history="1">
        <w:r w:rsidRPr="00752936">
          <w:rPr>
            <w:rStyle w:val="Lienhypertexte"/>
            <w:noProof/>
          </w:rPr>
          <w:t>Du paternalisme aux droits humains</w:t>
        </w:r>
        <w:r>
          <w:rPr>
            <w:noProof/>
            <w:webHidden/>
          </w:rPr>
          <w:tab/>
        </w:r>
        <w:r>
          <w:rPr>
            <w:noProof/>
            <w:webHidden/>
          </w:rPr>
          <w:fldChar w:fldCharType="begin"/>
        </w:r>
        <w:r>
          <w:rPr>
            <w:noProof/>
            <w:webHidden/>
          </w:rPr>
          <w:instrText xml:space="preserve"> PAGEREF _Toc130379200 \h </w:instrText>
        </w:r>
        <w:r>
          <w:rPr>
            <w:noProof/>
            <w:webHidden/>
          </w:rPr>
        </w:r>
        <w:r>
          <w:rPr>
            <w:noProof/>
            <w:webHidden/>
          </w:rPr>
          <w:fldChar w:fldCharType="separate"/>
        </w:r>
        <w:r>
          <w:rPr>
            <w:noProof/>
            <w:webHidden/>
          </w:rPr>
          <w:t>8</w:t>
        </w:r>
        <w:r>
          <w:rPr>
            <w:noProof/>
            <w:webHidden/>
          </w:rPr>
          <w:fldChar w:fldCharType="end"/>
        </w:r>
      </w:hyperlink>
    </w:p>
    <w:p w14:paraId="53E87FEB" w14:textId="4BF014C2" w:rsidR="00997273" w:rsidRDefault="00997273">
      <w:pPr>
        <w:pStyle w:val="TM2"/>
        <w:tabs>
          <w:tab w:val="right" w:leader="dot" w:pos="9346"/>
        </w:tabs>
        <w:rPr>
          <w:rFonts w:eastAsiaTheme="minorEastAsia"/>
          <w:noProof/>
          <w:lang w:eastAsia="fr-CH"/>
        </w:rPr>
      </w:pPr>
      <w:hyperlink w:anchor="_Toc130379201" w:history="1">
        <w:r w:rsidRPr="00752936">
          <w:rPr>
            <w:rStyle w:val="Lienhypertexte"/>
            <w:noProof/>
          </w:rPr>
          <w:t>Stratégie nationale Addictions 2017-2024 : lignes directrices</w:t>
        </w:r>
        <w:r>
          <w:rPr>
            <w:noProof/>
            <w:webHidden/>
          </w:rPr>
          <w:tab/>
        </w:r>
        <w:r>
          <w:rPr>
            <w:noProof/>
            <w:webHidden/>
          </w:rPr>
          <w:fldChar w:fldCharType="begin"/>
        </w:r>
        <w:r>
          <w:rPr>
            <w:noProof/>
            <w:webHidden/>
          </w:rPr>
          <w:instrText xml:space="preserve"> PAGEREF _Toc130379201 \h </w:instrText>
        </w:r>
        <w:r>
          <w:rPr>
            <w:noProof/>
            <w:webHidden/>
          </w:rPr>
        </w:r>
        <w:r>
          <w:rPr>
            <w:noProof/>
            <w:webHidden/>
          </w:rPr>
          <w:fldChar w:fldCharType="separate"/>
        </w:r>
        <w:r>
          <w:rPr>
            <w:noProof/>
            <w:webHidden/>
          </w:rPr>
          <w:t>8</w:t>
        </w:r>
        <w:r>
          <w:rPr>
            <w:noProof/>
            <w:webHidden/>
          </w:rPr>
          <w:fldChar w:fldCharType="end"/>
        </w:r>
      </w:hyperlink>
    </w:p>
    <w:p w14:paraId="19804812" w14:textId="0BBE106F" w:rsidR="00997273" w:rsidRDefault="00997273">
      <w:pPr>
        <w:pStyle w:val="TM2"/>
        <w:tabs>
          <w:tab w:val="right" w:leader="dot" w:pos="9346"/>
        </w:tabs>
        <w:rPr>
          <w:rFonts w:eastAsiaTheme="minorEastAsia"/>
          <w:noProof/>
          <w:lang w:eastAsia="fr-CH"/>
        </w:rPr>
      </w:pPr>
      <w:hyperlink w:anchor="_Toc130379202" w:history="1">
        <w:r w:rsidRPr="00752936">
          <w:rPr>
            <w:rStyle w:val="Lienhypertexte"/>
            <w:noProof/>
          </w:rPr>
          <w:t>Déclaration d’Ascona (2016)</w:t>
        </w:r>
        <w:r>
          <w:rPr>
            <w:noProof/>
            <w:webHidden/>
          </w:rPr>
          <w:tab/>
        </w:r>
        <w:r>
          <w:rPr>
            <w:noProof/>
            <w:webHidden/>
          </w:rPr>
          <w:fldChar w:fldCharType="begin"/>
        </w:r>
        <w:r>
          <w:rPr>
            <w:noProof/>
            <w:webHidden/>
          </w:rPr>
          <w:instrText xml:space="preserve"> PAGEREF _Toc130379202 \h </w:instrText>
        </w:r>
        <w:r>
          <w:rPr>
            <w:noProof/>
            <w:webHidden/>
          </w:rPr>
        </w:r>
        <w:r>
          <w:rPr>
            <w:noProof/>
            <w:webHidden/>
          </w:rPr>
          <w:fldChar w:fldCharType="separate"/>
        </w:r>
        <w:r>
          <w:rPr>
            <w:noProof/>
            <w:webHidden/>
          </w:rPr>
          <w:t>9</w:t>
        </w:r>
        <w:r>
          <w:rPr>
            <w:noProof/>
            <w:webHidden/>
          </w:rPr>
          <w:fldChar w:fldCharType="end"/>
        </w:r>
      </w:hyperlink>
    </w:p>
    <w:p w14:paraId="7A73F0AC" w14:textId="69598B04" w:rsidR="00F508BA" w:rsidRDefault="00F10D45" w:rsidP="006D54A0">
      <w:pPr>
        <w:spacing w:before="120" w:after="120" w:line="276" w:lineRule="auto"/>
        <w:jc w:val="both"/>
        <w:rPr>
          <w:rFonts w:ascii="Verdana" w:hAnsi="Verdana" w:cs="Arial"/>
          <w:b/>
          <w:bCs/>
          <w:sz w:val="20"/>
          <w:szCs w:val="20"/>
        </w:rPr>
      </w:pPr>
      <w:r>
        <w:rPr>
          <w:rFonts w:ascii="Verdana" w:hAnsi="Verdana" w:cs="Arial"/>
          <w:b/>
          <w:bCs/>
          <w:sz w:val="20"/>
          <w:szCs w:val="20"/>
        </w:rPr>
        <w:fldChar w:fldCharType="end"/>
      </w:r>
    </w:p>
    <w:p w14:paraId="03FB9097" w14:textId="77777777" w:rsidR="00F508BA" w:rsidRDefault="00F508BA" w:rsidP="006D54A0">
      <w:pPr>
        <w:spacing w:before="120" w:after="120" w:line="276" w:lineRule="auto"/>
        <w:jc w:val="both"/>
        <w:rPr>
          <w:rFonts w:ascii="Verdana" w:hAnsi="Verdana" w:cs="Arial"/>
          <w:b/>
          <w:bCs/>
          <w:sz w:val="20"/>
          <w:szCs w:val="20"/>
        </w:rPr>
      </w:pPr>
    </w:p>
    <w:p w14:paraId="016BA956" w14:textId="77777777" w:rsidR="00F508BA" w:rsidRDefault="00F508BA" w:rsidP="006D54A0">
      <w:pPr>
        <w:spacing w:before="120" w:after="120" w:line="276" w:lineRule="auto"/>
        <w:jc w:val="both"/>
        <w:rPr>
          <w:rFonts w:ascii="Verdana" w:hAnsi="Verdana" w:cs="Arial"/>
          <w:b/>
          <w:bCs/>
          <w:sz w:val="20"/>
          <w:szCs w:val="20"/>
        </w:rPr>
      </w:pPr>
    </w:p>
    <w:p w14:paraId="7040F0CC" w14:textId="77777777" w:rsidR="00F508BA" w:rsidRDefault="00F508BA" w:rsidP="006D54A0">
      <w:pPr>
        <w:spacing w:before="120" w:after="120" w:line="276" w:lineRule="auto"/>
        <w:jc w:val="both"/>
        <w:rPr>
          <w:rFonts w:ascii="Verdana" w:hAnsi="Verdana" w:cs="Arial"/>
          <w:b/>
          <w:bCs/>
          <w:sz w:val="20"/>
          <w:szCs w:val="20"/>
        </w:rPr>
      </w:pPr>
    </w:p>
    <w:p w14:paraId="1E598C27" w14:textId="1A4BFD4B" w:rsidR="00D42571" w:rsidRDefault="00D42571" w:rsidP="006D54A0">
      <w:pPr>
        <w:spacing w:before="120" w:after="120" w:line="276" w:lineRule="auto"/>
        <w:jc w:val="both"/>
        <w:rPr>
          <w:rFonts w:ascii="Verdana" w:hAnsi="Verdana" w:cs="Arial"/>
          <w:b/>
          <w:bCs/>
          <w:sz w:val="20"/>
          <w:szCs w:val="20"/>
        </w:rPr>
      </w:pPr>
      <w:r>
        <w:rPr>
          <w:rFonts w:ascii="Verdana" w:hAnsi="Verdana" w:cs="Arial"/>
          <w:b/>
          <w:bCs/>
          <w:sz w:val="20"/>
          <w:szCs w:val="20"/>
        </w:rPr>
        <w:br w:type="page"/>
      </w:r>
    </w:p>
    <w:p w14:paraId="3EADC4F0" w14:textId="42C50B6E" w:rsidR="00683F8E" w:rsidRPr="00D62FB1" w:rsidRDefault="00683F8E" w:rsidP="006D54A0">
      <w:pPr>
        <w:spacing w:before="120" w:after="120" w:line="276" w:lineRule="auto"/>
        <w:jc w:val="both"/>
        <w:rPr>
          <w:rFonts w:ascii="Verdana" w:hAnsi="Verdana" w:cs="Arial"/>
          <w:b/>
          <w:bCs/>
          <w:sz w:val="20"/>
          <w:szCs w:val="20"/>
        </w:rPr>
      </w:pPr>
      <w:r w:rsidRPr="00D62FB1">
        <w:rPr>
          <w:rFonts w:ascii="Verdana" w:hAnsi="Verdana" w:cs="Arial"/>
          <w:b/>
          <w:bCs/>
          <w:sz w:val="20"/>
          <w:szCs w:val="20"/>
        </w:rPr>
        <w:lastRenderedPageBreak/>
        <w:t xml:space="preserve">Addictions : droit, politique, histoire, logique et priorités </w:t>
      </w:r>
    </w:p>
    <w:p w14:paraId="0F181B4B" w14:textId="15069AE0" w:rsidR="000E11B6" w:rsidRPr="00D42571" w:rsidRDefault="0015783B" w:rsidP="006D54A0">
      <w:pPr>
        <w:spacing w:before="120" w:after="120" w:line="276" w:lineRule="auto"/>
        <w:jc w:val="both"/>
        <w:rPr>
          <w:rFonts w:ascii="Verdana" w:hAnsi="Verdana" w:cs="Arial"/>
          <w:sz w:val="20"/>
          <w:szCs w:val="20"/>
        </w:rPr>
      </w:pPr>
      <w:r w:rsidRPr="00D42571">
        <w:rPr>
          <w:rFonts w:ascii="Verdana" w:hAnsi="Verdana" w:cs="Arial"/>
          <w:sz w:val="20"/>
          <w:szCs w:val="20"/>
        </w:rPr>
        <w:t>« </w:t>
      </w:r>
      <w:r w:rsidRPr="00D42571">
        <w:rPr>
          <w:rFonts w:ascii="Verdana" w:hAnsi="Verdana" w:cs="Arial"/>
          <w:i/>
          <w:iCs/>
          <w:sz w:val="20"/>
          <w:szCs w:val="20"/>
        </w:rPr>
        <w:t xml:space="preserve">L’histoire sociale enseigne qu’il n’y a pas de </w:t>
      </w:r>
      <w:r w:rsidR="001264E2" w:rsidRPr="00D42571">
        <w:rPr>
          <w:rFonts w:ascii="Verdana" w:hAnsi="Verdana" w:cs="Arial"/>
          <w:i/>
          <w:iCs/>
          <w:sz w:val="20"/>
          <w:szCs w:val="20"/>
        </w:rPr>
        <w:t>politique sociale</w:t>
      </w:r>
      <w:r w:rsidRPr="00D42571">
        <w:rPr>
          <w:rFonts w:ascii="Verdana" w:hAnsi="Verdana" w:cs="Arial"/>
          <w:i/>
          <w:iCs/>
          <w:sz w:val="20"/>
          <w:szCs w:val="20"/>
        </w:rPr>
        <w:t xml:space="preserve"> sans un mouvement social capable de l’imposer</w:t>
      </w:r>
      <w:r w:rsidRPr="00D42571">
        <w:rPr>
          <w:rFonts w:ascii="Verdana" w:hAnsi="Verdana" w:cs="Arial"/>
          <w:sz w:val="20"/>
          <w:szCs w:val="20"/>
        </w:rPr>
        <w:t xml:space="preserve"> » (Bourdieu). </w:t>
      </w:r>
    </w:p>
    <w:p w14:paraId="21B6D0EE" w14:textId="5AFB866A" w:rsidR="00012042" w:rsidRPr="003D5651" w:rsidRDefault="00683F8E" w:rsidP="006D54A0">
      <w:pPr>
        <w:pStyle w:val="Titre1"/>
        <w:keepNext w:val="0"/>
        <w:keepLines w:val="0"/>
        <w:numPr>
          <w:ilvl w:val="0"/>
          <w:numId w:val="1"/>
        </w:numPr>
        <w:shd w:val="clear" w:color="auto" w:fill="FFFFFF"/>
        <w:spacing w:before="120" w:after="120" w:line="276" w:lineRule="auto"/>
        <w:ind w:left="360" w:hanging="360"/>
        <w:contextualSpacing/>
        <w:jc w:val="both"/>
        <w:rPr>
          <w:rFonts w:ascii="Verdana" w:eastAsiaTheme="minorEastAsia" w:hAnsi="Verdana" w:cs="Arial"/>
          <w:b/>
          <w:bCs/>
          <w:iCs/>
          <w:sz w:val="20"/>
          <w:szCs w:val="20"/>
          <w:lang w:val="fr-FR" w:eastAsia="zh-CN"/>
        </w:rPr>
      </w:pPr>
      <w:bookmarkStart w:id="0" w:name="_Toc130379184"/>
      <w:r w:rsidRPr="003D5651">
        <w:rPr>
          <w:rFonts w:ascii="Verdana" w:eastAsiaTheme="minorEastAsia" w:hAnsi="Verdana" w:cs="Arial"/>
          <w:b/>
          <w:bCs/>
          <w:iCs/>
          <w:sz w:val="20"/>
          <w:szCs w:val="20"/>
          <w:lang w:val="fr-FR" w:eastAsia="zh-CN"/>
        </w:rPr>
        <w:t xml:space="preserve">Bases </w:t>
      </w:r>
      <w:r w:rsidR="00012042" w:rsidRPr="003D5651">
        <w:rPr>
          <w:rFonts w:ascii="Verdana" w:eastAsiaTheme="minorEastAsia" w:hAnsi="Verdana" w:cs="Arial"/>
          <w:b/>
          <w:bCs/>
          <w:iCs/>
          <w:sz w:val="20"/>
          <w:szCs w:val="20"/>
          <w:lang w:val="fr-FR" w:eastAsia="zh-CN"/>
        </w:rPr>
        <w:t>« </w:t>
      </w:r>
      <w:r w:rsidRPr="003D5651">
        <w:rPr>
          <w:rFonts w:ascii="Verdana" w:eastAsiaTheme="minorEastAsia" w:hAnsi="Verdana" w:cs="Arial"/>
          <w:b/>
          <w:bCs/>
          <w:iCs/>
          <w:sz w:val="20"/>
          <w:szCs w:val="20"/>
          <w:lang w:val="fr-FR" w:eastAsia="zh-CN"/>
        </w:rPr>
        <w:t>légales</w:t>
      </w:r>
      <w:r w:rsidR="00012042" w:rsidRPr="003D5651">
        <w:rPr>
          <w:rFonts w:ascii="Verdana" w:eastAsiaTheme="minorEastAsia" w:hAnsi="Verdana" w:cs="Arial"/>
          <w:b/>
          <w:bCs/>
          <w:iCs/>
          <w:sz w:val="20"/>
          <w:szCs w:val="20"/>
          <w:lang w:val="fr-FR" w:eastAsia="zh-CN"/>
        </w:rPr>
        <w:t> »</w:t>
      </w:r>
      <w:r w:rsidRPr="003D5651">
        <w:rPr>
          <w:rFonts w:ascii="Verdana" w:eastAsiaTheme="minorEastAsia" w:hAnsi="Verdana" w:cs="Arial"/>
          <w:b/>
          <w:bCs/>
          <w:iCs/>
          <w:sz w:val="20"/>
          <w:szCs w:val="20"/>
          <w:lang w:val="fr-FR" w:eastAsia="zh-CN"/>
        </w:rPr>
        <w:t xml:space="preserve"> </w:t>
      </w:r>
      <w:r w:rsidR="00012042" w:rsidRPr="003D5651">
        <w:rPr>
          <w:rFonts w:ascii="Verdana" w:eastAsiaTheme="minorEastAsia" w:hAnsi="Verdana" w:cs="Arial"/>
          <w:b/>
          <w:bCs/>
          <w:iCs/>
          <w:sz w:val="20"/>
          <w:szCs w:val="20"/>
          <w:lang w:val="fr-FR" w:eastAsia="zh-CN"/>
        </w:rPr>
        <w:t>internationales</w:t>
      </w:r>
      <w:bookmarkEnd w:id="0"/>
    </w:p>
    <w:p w14:paraId="77E0FF2C" w14:textId="02E3E3DB" w:rsidR="00012042" w:rsidRPr="00D42571" w:rsidRDefault="00012042" w:rsidP="006D54A0">
      <w:pPr>
        <w:pStyle w:val="Paragraphedeliste"/>
        <w:numPr>
          <w:ilvl w:val="0"/>
          <w:numId w:val="5"/>
        </w:numPr>
        <w:spacing w:before="120" w:after="120" w:line="276" w:lineRule="auto"/>
        <w:jc w:val="both"/>
        <w:rPr>
          <w:rFonts w:ascii="Verdana" w:hAnsi="Verdana" w:cs="Arial"/>
          <w:sz w:val="20"/>
          <w:szCs w:val="20"/>
        </w:rPr>
      </w:pPr>
      <w:r w:rsidRPr="00D42571">
        <w:rPr>
          <w:rFonts w:ascii="Verdana" w:hAnsi="Verdana" w:cs="Arial"/>
          <w:sz w:val="20"/>
          <w:szCs w:val="20"/>
        </w:rPr>
        <w:t>Convention unique sur les stupéfiants de 1961 (</w:t>
      </w:r>
      <w:hyperlink r:id="rId11" w:history="1">
        <w:r w:rsidRPr="007B593D">
          <w:rPr>
            <w:rStyle w:val="Lienhypertexte"/>
            <w:rFonts w:ascii="Verdana" w:hAnsi="Verdana" w:cs="Arial"/>
            <w:sz w:val="20"/>
            <w:szCs w:val="20"/>
          </w:rPr>
          <w:t>RS 0.812.121.0</w:t>
        </w:r>
      </w:hyperlink>
      <w:r w:rsidRPr="00D42571">
        <w:rPr>
          <w:rFonts w:ascii="Verdana" w:hAnsi="Verdana" w:cs="Arial"/>
          <w:sz w:val="20"/>
          <w:szCs w:val="20"/>
        </w:rPr>
        <w:t>)</w:t>
      </w:r>
    </w:p>
    <w:p w14:paraId="3723A524" w14:textId="59FD37CE" w:rsidR="00012042" w:rsidRPr="00D42571" w:rsidRDefault="00012042" w:rsidP="006D54A0">
      <w:pPr>
        <w:pStyle w:val="Paragraphedeliste"/>
        <w:numPr>
          <w:ilvl w:val="0"/>
          <w:numId w:val="5"/>
        </w:numPr>
        <w:spacing w:before="120" w:after="120" w:line="276" w:lineRule="auto"/>
        <w:jc w:val="both"/>
        <w:rPr>
          <w:rFonts w:ascii="Verdana" w:hAnsi="Verdana" w:cs="Arial"/>
          <w:sz w:val="20"/>
          <w:szCs w:val="20"/>
        </w:rPr>
      </w:pPr>
      <w:r w:rsidRPr="00D42571">
        <w:rPr>
          <w:rFonts w:ascii="Verdana" w:hAnsi="Verdana" w:cs="Arial"/>
          <w:sz w:val="20"/>
          <w:szCs w:val="20"/>
        </w:rPr>
        <w:t>Convention de nations Unies contre le trafic illicite de stupéfiants et de substances psychotropes (</w:t>
      </w:r>
      <w:hyperlink r:id="rId12" w:history="1">
        <w:r w:rsidRPr="00FC65DA">
          <w:rPr>
            <w:rStyle w:val="Lienhypertexte"/>
            <w:rFonts w:ascii="Verdana" w:hAnsi="Verdana" w:cs="Arial"/>
            <w:sz w:val="20"/>
            <w:szCs w:val="20"/>
          </w:rPr>
          <w:t>RS 0.812.121.03</w:t>
        </w:r>
      </w:hyperlink>
      <w:r w:rsidRPr="00D42571">
        <w:rPr>
          <w:rFonts w:ascii="Verdana" w:hAnsi="Verdana" w:cs="Arial"/>
          <w:sz w:val="20"/>
          <w:szCs w:val="20"/>
        </w:rPr>
        <w:t xml:space="preserve">) </w:t>
      </w:r>
    </w:p>
    <w:p w14:paraId="0CC71F50" w14:textId="4E58ED62" w:rsidR="00544941" w:rsidRPr="003D5651" w:rsidRDefault="00012042" w:rsidP="006D54A0">
      <w:pPr>
        <w:pStyle w:val="Titre1"/>
        <w:keepNext w:val="0"/>
        <w:keepLines w:val="0"/>
        <w:numPr>
          <w:ilvl w:val="0"/>
          <w:numId w:val="1"/>
        </w:numPr>
        <w:shd w:val="clear" w:color="auto" w:fill="FFFFFF"/>
        <w:spacing w:before="120" w:after="120" w:line="276" w:lineRule="auto"/>
        <w:ind w:left="360" w:hanging="360"/>
        <w:contextualSpacing/>
        <w:jc w:val="both"/>
        <w:rPr>
          <w:rFonts w:ascii="Verdana" w:eastAsiaTheme="minorEastAsia" w:hAnsi="Verdana" w:cs="Arial"/>
          <w:b/>
          <w:bCs/>
          <w:iCs/>
          <w:sz w:val="20"/>
          <w:szCs w:val="20"/>
          <w:lang w:val="fr-FR" w:eastAsia="zh-CN"/>
        </w:rPr>
      </w:pPr>
      <w:bookmarkStart w:id="1" w:name="_Toc130379185"/>
      <w:r w:rsidRPr="003D5651">
        <w:rPr>
          <w:rFonts w:ascii="Verdana" w:eastAsiaTheme="minorEastAsia" w:hAnsi="Verdana" w:cs="Arial"/>
          <w:b/>
          <w:bCs/>
          <w:iCs/>
          <w:sz w:val="20"/>
          <w:szCs w:val="20"/>
          <w:lang w:val="fr-FR" w:eastAsia="zh-CN"/>
        </w:rPr>
        <w:t xml:space="preserve">Bases légales </w:t>
      </w:r>
      <w:r w:rsidR="00683F8E" w:rsidRPr="003D5651">
        <w:rPr>
          <w:rFonts w:ascii="Verdana" w:eastAsiaTheme="minorEastAsia" w:hAnsi="Verdana" w:cs="Arial"/>
          <w:b/>
          <w:bCs/>
          <w:iCs/>
          <w:sz w:val="20"/>
          <w:szCs w:val="20"/>
          <w:lang w:val="fr-FR" w:eastAsia="zh-CN"/>
        </w:rPr>
        <w:t>suisses</w:t>
      </w:r>
      <w:bookmarkEnd w:id="1"/>
      <w:r w:rsidR="00683F8E" w:rsidRPr="003D5651">
        <w:rPr>
          <w:rFonts w:ascii="Verdana" w:eastAsiaTheme="minorEastAsia" w:hAnsi="Verdana" w:cs="Arial"/>
          <w:b/>
          <w:bCs/>
          <w:iCs/>
          <w:sz w:val="20"/>
          <w:szCs w:val="20"/>
          <w:lang w:val="fr-FR" w:eastAsia="zh-CN"/>
        </w:rPr>
        <w:t xml:space="preserve"> </w:t>
      </w:r>
    </w:p>
    <w:p w14:paraId="2C099717" w14:textId="28616EAA" w:rsidR="00F05130" w:rsidRPr="00D42571" w:rsidRDefault="00683F8E" w:rsidP="006D54A0">
      <w:pPr>
        <w:spacing w:before="120" w:after="120" w:line="276" w:lineRule="auto"/>
        <w:jc w:val="both"/>
        <w:rPr>
          <w:rFonts w:ascii="Verdana" w:hAnsi="Verdana" w:cs="Arial"/>
          <w:sz w:val="20"/>
          <w:szCs w:val="20"/>
        </w:rPr>
      </w:pPr>
      <w:r w:rsidRPr="00D42571">
        <w:rPr>
          <w:rFonts w:ascii="Verdana" w:hAnsi="Verdana" w:cs="Arial"/>
          <w:sz w:val="20"/>
          <w:szCs w:val="20"/>
        </w:rPr>
        <w:t>Loi sur les stupéfiants et es substances psychotropes (</w:t>
      </w:r>
      <w:proofErr w:type="spellStart"/>
      <w:r w:rsidRPr="00D42571">
        <w:rPr>
          <w:rFonts w:ascii="Verdana" w:hAnsi="Verdana" w:cs="Arial"/>
          <w:sz w:val="20"/>
          <w:szCs w:val="20"/>
        </w:rPr>
        <w:t>LStup</w:t>
      </w:r>
      <w:proofErr w:type="spellEnd"/>
      <w:r w:rsidRPr="00D42571">
        <w:rPr>
          <w:rFonts w:ascii="Verdana" w:hAnsi="Verdana" w:cs="Arial"/>
          <w:sz w:val="20"/>
          <w:szCs w:val="20"/>
        </w:rPr>
        <w:t xml:space="preserve">, </w:t>
      </w:r>
      <w:hyperlink r:id="rId13" w:history="1">
        <w:r w:rsidRPr="00E71877">
          <w:rPr>
            <w:rStyle w:val="Lienhypertexte"/>
            <w:rFonts w:ascii="Verdana" w:hAnsi="Verdana" w:cs="Arial"/>
            <w:sz w:val="20"/>
            <w:szCs w:val="20"/>
          </w:rPr>
          <w:t>RS 812.121</w:t>
        </w:r>
      </w:hyperlink>
      <w:r w:rsidRPr="00D42571">
        <w:rPr>
          <w:rFonts w:ascii="Verdana" w:hAnsi="Verdana" w:cs="Arial"/>
          <w:sz w:val="20"/>
          <w:szCs w:val="20"/>
        </w:rPr>
        <w:t xml:space="preserve">), en particulier les </w:t>
      </w:r>
      <w:hyperlink r:id="rId14" w:history="1">
        <w:r w:rsidRPr="00836502">
          <w:rPr>
            <w:rStyle w:val="Lienhypertexte"/>
            <w:rFonts w:ascii="Verdana" w:hAnsi="Verdana" w:cs="Arial"/>
            <w:b/>
            <w:bCs/>
            <w:sz w:val="20"/>
            <w:szCs w:val="20"/>
          </w:rPr>
          <w:t xml:space="preserve">art. 19a </w:t>
        </w:r>
        <w:proofErr w:type="spellStart"/>
        <w:r w:rsidRPr="00836502">
          <w:rPr>
            <w:rStyle w:val="Lienhypertexte"/>
            <w:rFonts w:ascii="Verdana" w:hAnsi="Verdana" w:cs="Arial"/>
            <w:b/>
            <w:bCs/>
            <w:sz w:val="20"/>
            <w:szCs w:val="20"/>
          </w:rPr>
          <w:t>LStup</w:t>
        </w:r>
        <w:proofErr w:type="spellEnd"/>
      </w:hyperlink>
      <w:r w:rsidRPr="00D42571">
        <w:rPr>
          <w:rFonts w:ascii="Verdana" w:hAnsi="Verdana" w:cs="Arial"/>
          <w:sz w:val="20"/>
          <w:szCs w:val="20"/>
        </w:rPr>
        <w:t xml:space="preserve"> : </w:t>
      </w:r>
    </w:p>
    <w:p w14:paraId="23E2ECCF" w14:textId="0A5F13C9"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r w:rsidRPr="00D42571">
        <w:rPr>
          <w:rFonts w:ascii="Verdana" w:hAnsi="Verdana" w:cs="Arial"/>
          <w:i/>
          <w:iCs/>
          <w:sz w:val="20"/>
          <w:szCs w:val="20"/>
        </w:rPr>
        <w:t>1. Celui qui, sans droit, aura consommé intentionnellement des stupéfiants ou celui qui aura commis une infraction à l’</w:t>
      </w:r>
      <w:hyperlink r:id="rId15" w:history="1">
        <w:r w:rsidRPr="00A57DA3">
          <w:rPr>
            <w:rStyle w:val="Lienhypertexte"/>
            <w:rFonts w:ascii="Verdana" w:hAnsi="Verdana" w:cs="Arial"/>
            <w:i/>
            <w:iCs/>
            <w:sz w:val="20"/>
            <w:szCs w:val="20"/>
          </w:rPr>
          <w:t>art. 19</w:t>
        </w:r>
      </w:hyperlink>
      <w:r w:rsidRPr="00D42571">
        <w:rPr>
          <w:rFonts w:ascii="Verdana" w:hAnsi="Verdana" w:cs="Arial"/>
          <w:i/>
          <w:iCs/>
          <w:sz w:val="20"/>
          <w:szCs w:val="20"/>
        </w:rPr>
        <w:t xml:space="preserve"> pour assurer sa propre consommation est passible de l’amende.</w:t>
      </w:r>
    </w:p>
    <w:p w14:paraId="53A38648" w14:textId="77777777"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r w:rsidRPr="00D42571">
        <w:rPr>
          <w:rFonts w:ascii="Verdana" w:hAnsi="Verdana" w:cs="Arial"/>
          <w:i/>
          <w:iCs/>
          <w:sz w:val="20"/>
          <w:szCs w:val="20"/>
        </w:rPr>
        <w:t>2. Dans les cas bénins, l’autorité compétente pourra suspendre la procédure ou renoncer à infliger une peine. Une réprimande peut être prononcée.</w:t>
      </w:r>
    </w:p>
    <w:p w14:paraId="43636421" w14:textId="77777777"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r w:rsidRPr="00D42571">
        <w:rPr>
          <w:rFonts w:ascii="Verdana" w:hAnsi="Verdana" w:cs="Arial"/>
          <w:i/>
          <w:iCs/>
          <w:sz w:val="20"/>
          <w:szCs w:val="20"/>
        </w:rPr>
        <w:t>3. 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w:t>
      </w:r>
    </w:p>
    <w:p w14:paraId="57051603" w14:textId="4335C56E"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r w:rsidRPr="00D42571">
        <w:rPr>
          <w:rFonts w:ascii="Verdana" w:hAnsi="Verdana" w:cs="Arial"/>
          <w:i/>
          <w:iCs/>
          <w:sz w:val="20"/>
          <w:szCs w:val="20"/>
        </w:rPr>
        <w:t>4. Lorsque l’auteur sera victime d’une dépendance aux stupéfiants, le juge pourra ordonner son renvoi dans une maison de santé. L’art. 44 du code pénal suisse</w:t>
      </w:r>
      <w:r w:rsidRPr="00D42571">
        <w:rPr>
          <w:rFonts w:ascii="Verdana" w:hAnsi="Verdana" w:cs="Arial"/>
          <w:i/>
          <w:iCs/>
          <w:sz w:val="20"/>
          <w:szCs w:val="20"/>
          <w:vertAlign w:val="superscript"/>
        </w:rPr>
        <w:t xml:space="preserve"> </w:t>
      </w:r>
      <w:r w:rsidRPr="00D42571">
        <w:rPr>
          <w:rFonts w:ascii="Verdana" w:hAnsi="Verdana" w:cs="Arial"/>
          <w:i/>
          <w:iCs/>
          <w:sz w:val="20"/>
          <w:szCs w:val="20"/>
        </w:rPr>
        <w:t>est applicable par analogie.</w:t>
      </w:r>
    </w:p>
    <w:p w14:paraId="4DEA1EC6" w14:textId="67BDC9B2" w:rsidR="00683F8E" w:rsidRPr="00D42571" w:rsidRDefault="00683F8E" w:rsidP="006D54A0">
      <w:pPr>
        <w:spacing w:before="120" w:after="120" w:line="276" w:lineRule="auto"/>
        <w:jc w:val="both"/>
        <w:rPr>
          <w:rFonts w:ascii="Verdana" w:hAnsi="Verdana" w:cs="Arial"/>
          <w:sz w:val="20"/>
          <w:szCs w:val="20"/>
        </w:rPr>
      </w:pPr>
      <w:proofErr w:type="gramStart"/>
      <w:r w:rsidRPr="00D42571">
        <w:rPr>
          <w:rFonts w:ascii="Verdana" w:hAnsi="Verdana" w:cs="Arial"/>
          <w:sz w:val="20"/>
          <w:szCs w:val="20"/>
        </w:rPr>
        <w:t>et</w:t>
      </w:r>
      <w:proofErr w:type="gramEnd"/>
      <w:r w:rsidRPr="00D42571">
        <w:rPr>
          <w:rFonts w:ascii="Verdana" w:hAnsi="Verdana" w:cs="Arial"/>
          <w:sz w:val="20"/>
          <w:szCs w:val="20"/>
        </w:rPr>
        <w:t xml:space="preserve"> </w:t>
      </w:r>
      <w:hyperlink r:id="rId16" w:history="1">
        <w:r w:rsidRPr="00995EB7">
          <w:rPr>
            <w:rStyle w:val="Lienhypertexte"/>
            <w:rFonts w:ascii="Verdana" w:hAnsi="Verdana" w:cs="Arial"/>
            <w:b/>
            <w:bCs/>
            <w:sz w:val="20"/>
            <w:szCs w:val="20"/>
          </w:rPr>
          <w:t xml:space="preserve">l’art. 19b </w:t>
        </w:r>
        <w:proofErr w:type="spellStart"/>
        <w:r w:rsidRPr="00995EB7">
          <w:rPr>
            <w:rStyle w:val="Lienhypertexte"/>
            <w:rFonts w:ascii="Verdana" w:hAnsi="Verdana" w:cs="Arial"/>
            <w:b/>
            <w:bCs/>
            <w:sz w:val="20"/>
            <w:szCs w:val="20"/>
          </w:rPr>
          <w:t>LStup</w:t>
        </w:r>
        <w:proofErr w:type="spellEnd"/>
        <w:r w:rsidRPr="00995EB7">
          <w:rPr>
            <w:rStyle w:val="Lienhypertexte"/>
            <w:rFonts w:ascii="Verdana" w:hAnsi="Verdana" w:cs="Arial"/>
            <w:sz w:val="20"/>
            <w:szCs w:val="20"/>
          </w:rPr>
          <w:t> </w:t>
        </w:r>
      </w:hyperlink>
      <w:r w:rsidRPr="00D42571">
        <w:rPr>
          <w:rFonts w:ascii="Verdana" w:hAnsi="Verdana" w:cs="Arial"/>
          <w:sz w:val="20"/>
          <w:szCs w:val="20"/>
        </w:rPr>
        <w:t xml:space="preserve">: </w:t>
      </w:r>
    </w:p>
    <w:p w14:paraId="0CADC259" w14:textId="77777777"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bookmarkStart w:id="2" w:name="1"/>
      <w:r w:rsidRPr="00D42571">
        <w:rPr>
          <w:rFonts w:ascii="Verdana" w:hAnsi="Verdana" w:cs="Arial"/>
          <w:i/>
          <w:iCs/>
          <w:sz w:val="20"/>
          <w:szCs w:val="20"/>
          <w:vertAlign w:val="superscript"/>
        </w:rPr>
        <w:t>1</w:t>
      </w:r>
      <w:bookmarkEnd w:id="2"/>
      <w:r w:rsidRPr="00D42571">
        <w:rPr>
          <w:rFonts w:ascii="Verdana" w:hAnsi="Verdana" w:cs="Arial"/>
          <w:i/>
          <w:iCs/>
          <w:sz w:val="20"/>
          <w:szCs w:val="20"/>
        </w:rPr>
        <w:t> Celui qui se borne à préparer des stupéfiants en quantités minimes, pour sa propre consommation ou pour permettre à des tiers de plus de 18 ans d’en consommer simultanément en commun après leur en avoir fourni gratuitement, n’est pas punissable.</w:t>
      </w:r>
    </w:p>
    <w:p w14:paraId="4C2BE083" w14:textId="0869A5B0" w:rsidR="00683F8E" w:rsidRPr="00D42571" w:rsidRDefault="00683F8E" w:rsidP="006D54A0">
      <w:pPr>
        <w:pStyle w:val="NormalWeb"/>
        <w:spacing w:before="120" w:beforeAutospacing="0" w:after="120" w:afterAutospacing="0" w:line="276" w:lineRule="auto"/>
        <w:jc w:val="both"/>
        <w:rPr>
          <w:rFonts w:ascii="Verdana" w:hAnsi="Verdana" w:cs="Arial"/>
          <w:i/>
          <w:iCs/>
          <w:sz w:val="20"/>
          <w:szCs w:val="20"/>
        </w:rPr>
      </w:pPr>
      <w:bookmarkStart w:id="3" w:name="2"/>
      <w:r w:rsidRPr="00D42571">
        <w:rPr>
          <w:rFonts w:ascii="Verdana" w:hAnsi="Verdana" w:cs="Arial"/>
          <w:i/>
          <w:iCs/>
          <w:sz w:val="20"/>
          <w:szCs w:val="20"/>
          <w:vertAlign w:val="superscript"/>
        </w:rPr>
        <w:t>2</w:t>
      </w:r>
      <w:bookmarkEnd w:id="3"/>
      <w:r w:rsidRPr="00D42571">
        <w:rPr>
          <w:rFonts w:ascii="Verdana" w:hAnsi="Verdana" w:cs="Arial"/>
          <w:i/>
          <w:iCs/>
          <w:sz w:val="20"/>
          <w:szCs w:val="20"/>
        </w:rPr>
        <w:t xml:space="preserve"> Dix grammes de stupéfiants ayant des effets de type cannabique sont considérés comme une quantité minime. </w:t>
      </w:r>
    </w:p>
    <w:p w14:paraId="24BBCD53" w14:textId="5756279C" w:rsidR="00754D56" w:rsidRPr="00D42571" w:rsidRDefault="000E11B6" w:rsidP="006D54A0">
      <w:pPr>
        <w:pStyle w:val="NormalWeb"/>
        <w:spacing w:before="120" w:beforeAutospacing="0" w:after="120" w:afterAutospacing="0" w:line="276" w:lineRule="auto"/>
        <w:jc w:val="both"/>
        <w:rPr>
          <w:rFonts w:ascii="Verdana" w:hAnsi="Verdana" w:cs="Arial"/>
          <w:sz w:val="20"/>
          <w:szCs w:val="20"/>
        </w:rPr>
      </w:pPr>
      <w:r w:rsidRPr="00D42571">
        <w:rPr>
          <w:rFonts w:ascii="Verdana" w:hAnsi="Verdana" w:cs="Arial"/>
          <w:b/>
          <w:bCs/>
          <w:sz w:val="20"/>
          <w:szCs w:val="20"/>
        </w:rPr>
        <w:t>Le Code de procédure pénale</w:t>
      </w:r>
      <w:r w:rsidRPr="00D42571">
        <w:rPr>
          <w:rFonts w:ascii="Verdana" w:hAnsi="Verdana" w:cs="Arial"/>
          <w:sz w:val="20"/>
          <w:szCs w:val="20"/>
        </w:rPr>
        <w:t xml:space="preserve"> (CPP, </w:t>
      </w:r>
      <w:hyperlink r:id="rId17" w:history="1">
        <w:r w:rsidRPr="009D77BD">
          <w:rPr>
            <w:rStyle w:val="Lienhypertexte"/>
            <w:rFonts w:ascii="Verdana" w:hAnsi="Verdana" w:cs="Arial"/>
            <w:sz w:val="20"/>
            <w:szCs w:val="20"/>
          </w:rPr>
          <w:t>RS 312.0</w:t>
        </w:r>
      </w:hyperlink>
      <w:r w:rsidRPr="00D42571">
        <w:rPr>
          <w:rFonts w:ascii="Verdana" w:hAnsi="Verdana" w:cs="Arial"/>
          <w:sz w:val="20"/>
          <w:szCs w:val="20"/>
        </w:rPr>
        <w:t xml:space="preserve">) pour ce qui est de la répression des infractions à la </w:t>
      </w:r>
      <w:proofErr w:type="spellStart"/>
      <w:r w:rsidRPr="00D42571">
        <w:rPr>
          <w:rFonts w:ascii="Verdana" w:hAnsi="Verdana" w:cs="Arial"/>
          <w:sz w:val="20"/>
          <w:szCs w:val="20"/>
        </w:rPr>
        <w:t>LStup</w:t>
      </w:r>
      <w:proofErr w:type="spellEnd"/>
      <w:r w:rsidRPr="00D42571">
        <w:rPr>
          <w:rFonts w:ascii="Verdana" w:hAnsi="Verdana" w:cs="Arial"/>
          <w:sz w:val="20"/>
          <w:szCs w:val="20"/>
        </w:rPr>
        <w:t>.</w:t>
      </w:r>
    </w:p>
    <w:p w14:paraId="1E324B89" w14:textId="4B239C5C" w:rsidR="002B3683" w:rsidRPr="00D42571" w:rsidRDefault="002B3683" w:rsidP="006D54A0">
      <w:pPr>
        <w:spacing w:before="120" w:after="120" w:line="276" w:lineRule="auto"/>
        <w:jc w:val="both"/>
        <w:rPr>
          <w:rFonts w:ascii="Verdana" w:eastAsia="Times New Roman" w:hAnsi="Verdana" w:cs="Arial"/>
          <w:sz w:val="20"/>
          <w:szCs w:val="20"/>
          <w:lang w:eastAsia="fr-FR"/>
        </w:rPr>
      </w:pPr>
      <w:r w:rsidRPr="00D42571">
        <w:rPr>
          <w:rFonts w:ascii="Verdana" w:hAnsi="Verdana" w:cs="Arial"/>
          <w:sz w:val="20"/>
          <w:szCs w:val="20"/>
        </w:rPr>
        <w:t xml:space="preserve">A signaler la </w:t>
      </w:r>
      <w:hyperlink r:id="rId18" w:history="1">
        <w:r w:rsidRPr="00654AF2">
          <w:rPr>
            <w:rStyle w:val="Lienhypertexte"/>
            <w:rFonts w:ascii="Verdana" w:hAnsi="Verdana" w:cs="Arial"/>
            <w:b/>
            <w:bCs/>
            <w:sz w:val="20"/>
            <w:szCs w:val="20"/>
          </w:rPr>
          <w:t>Déclaration d’Ascona</w:t>
        </w:r>
      </w:hyperlink>
      <w:r w:rsidRPr="00D42571">
        <w:rPr>
          <w:rFonts w:ascii="Verdana" w:hAnsi="Verdana" w:cs="Arial"/>
          <w:sz w:val="20"/>
          <w:szCs w:val="20"/>
        </w:rPr>
        <w:t xml:space="preserve">, </w:t>
      </w:r>
      <w:r w:rsidR="00995EB7" w:rsidRPr="00D42571">
        <w:rPr>
          <w:rFonts w:ascii="Verdana" w:hAnsi="Verdana" w:cs="Arial"/>
          <w:sz w:val="20"/>
          <w:szCs w:val="20"/>
        </w:rPr>
        <w:t>rédigée en</w:t>
      </w:r>
      <w:r w:rsidRPr="00D42571">
        <w:rPr>
          <w:rFonts w:ascii="Verdana" w:hAnsi="Verdana" w:cs="Arial"/>
          <w:sz w:val="20"/>
          <w:szCs w:val="20"/>
        </w:rPr>
        <w:t xml:space="preserve"> sous l’égide de l’Académie des dépendances (GREA) : elle prévoit une </w:t>
      </w:r>
      <w:r w:rsidRPr="00D42571">
        <w:rPr>
          <w:rFonts w:ascii="Verdana" w:eastAsia="Times New Roman" w:hAnsi="Verdana" w:cs="Arial"/>
          <w:sz w:val="20"/>
          <w:szCs w:val="20"/>
          <w:lang w:eastAsia="fr-FR"/>
        </w:rPr>
        <w:t xml:space="preserve">nouvelle orientation pour une politique moderne des addictions. Elle vise pour l’avenir un nouvel équilibre, valable pour toutes les consommations, pour une réduction globale des risques et des dommages des différents types de consommation, sous la forme de 10 principes (voir ci-dessous). </w:t>
      </w:r>
    </w:p>
    <w:p w14:paraId="1F5C9D21" w14:textId="77777777" w:rsidR="00754D56" w:rsidRPr="00D42571" w:rsidRDefault="00754D56" w:rsidP="006D54A0">
      <w:pPr>
        <w:spacing w:before="120" w:after="120" w:line="276" w:lineRule="auto"/>
        <w:jc w:val="both"/>
        <w:rPr>
          <w:rFonts w:ascii="Verdana" w:hAnsi="Verdana" w:cs="Arial"/>
          <w:sz w:val="20"/>
          <w:szCs w:val="20"/>
        </w:rPr>
      </w:pPr>
    </w:p>
    <w:p w14:paraId="5F24D989" w14:textId="77777777" w:rsidR="00274AF5" w:rsidRDefault="00274AF5" w:rsidP="006D54A0">
      <w:pPr>
        <w:spacing w:before="120" w:after="120"/>
        <w:jc w:val="both"/>
        <w:rPr>
          <w:rFonts w:ascii="Verdana" w:hAnsi="Verdana" w:cs="Arial"/>
          <w:b/>
          <w:bCs/>
          <w:sz w:val="20"/>
          <w:szCs w:val="20"/>
        </w:rPr>
      </w:pPr>
      <w:r>
        <w:rPr>
          <w:rFonts w:ascii="Verdana" w:hAnsi="Verdana" w:cs="Arial"/>
          <w:b/>
          <w:bCs/>
          <w:sz w:val="20"/>
          <w:szCs w:val="20"/>
        </w:rPr>
        <w:br w:type="page"/>
      </w:r>
    </w:p>
    <w:p w14:paraId="56CC8D17" w14:textId="2F154C82" w:rsidR="00544941" w:rsidRPr="003D5651" w:rsidRDefault="00544941" w:rsidP="006D54A0">
      <w:pPr>
        <w:pStyle w:val="Titre1"/>
        <w:keepNext w:val="0"/>
        <w:keepLines w:val="0"/>
        <w:numPr>
          <w:ilvl w:val="0"/>
          <w:numId w:val="1"/>
        </w:numPr>
        <w:shd w:val="clear" w:color="auto" w:fill="FFFFFF"/>
        <w:spacing w:before="120" w:after="120" w:line="276" w:lineRule="auto"/>
        <w:ind w:left="360" w:hanging="360"/>
        <w:contextualSpacing/>
        <w:jc w:val="both"/>
        <w:rPr>
          <w:rFonts w:ascii="Verdana" w:eastAsiaTheme="minorEastAsia" w:hAnsi="Verdana" w:cs="Arial"/>
          <w:b/>
          <w:bCs/>
          <w:iCs/>
          <w:sz w:val="20"/>
          <w:szCs w:val="20"/>
          <w:lang w:val="fr-FR" w:eastAsia="zh-CN"/>
        </w:rPr>
      </w:pPr>
      <w:bookmarkStart w:id="4" w:name="_Toc130379186"/>
      <w:r w:rsidRPr="003D5651">
        <w:rPr>
          <w:rFonts w:ascii="Verdana" w:eastAsiaTheme="minorEastAsia" w:hAnsi="Verdana" w:cs="Arial"/>
          <w:b/>
          <w:bCs/>
          <w:iCs/>
          <w:sz w:val="20"/>
          <w:szCs w:val="20"/>
          <w:lang w:val="fr-FR" w:eastAsia="zh-CN"/>
        </w:rPr>
        <w:lastRenderedPageBreak/>
        <w:t>Résumé</w:t>
      </w:r>
      <w:bookmarkEnd w:id="4"/>
      <w:r w:rsidRPr="003D5651">
        <w:rPr>
          <w:rFonts w:ascii="Verdana" w:eastAsiaTheme="minorEastAsia" w:hAnsi="Verdana" w:cs="Arial"/>
          <w:b/>
          <w:bCs/>
          <w:iCs/>
          <w:sz w:val="20"/>
          <w:szCs w:val="20"/>
          <w:lang w:val="fr-FR" w:eastAsia="zh-CN"/>
        </w:rPr>
        <w:t xml:space="preserve"> </w:t>
      </w:r>
    </w:p>
    <w:p w14:paraId="3263945E" w14:textId="24B4C18A" w:rsidR="00754D56" w:rsidRPr="00E164DB" w:rsidRDefault="00754D56" w:rsidP="00F10D45">
      <w:pPr>
        <w:pStyle w:val="Titre2"/>
      </w:pPr>
      <w:bookmarkStart w:id="5" w:name="_Toc130379187"/>
      <w:r w:rsidRPr="00D42571">
        <w:t>Drogues illégales</w:t>
      </w:r>
      <w:bookmarkEnd w:id="5"/>
    </w:p>
    <w:p w14:paraId="4DF17602" w14:textId="77777777" w:rsidR="00754D56" w:rsidRPr="00D42571" w:rsidRDefault="00754D5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Dans un premier temps, les drogues ont fait l’objet d’une prohibition totale, tant dans le commerce que dans la consommation, l’individu devant être protégé contre toute exposition : le but visé était celui de l’éradication du produit de la société. </w:t>
      </w:r>
    </w:p>
    <w:p w14:paraId="323A887F" w14:textId="6C34F117" w:rsidR="00754D56" w:rsidRPr="00E164DB" w:rsidRDefault="00754D56" w:rsidP="00F10D45">
      <w:pPr>
        <w:pStyle w:val="Titre2"/>
      </w:pPr>
      <w:bookmarkStart w:id="6" w:name="_Toc130379188"/>
      <w:r w:rsidRPr="00D42571">
        <w:t>Cannabis</w:t>
      </w:r>
      <w:bookmarkEnd w:id="6"/>
    </w:p>
    <w:p w14:paraId="4611FB5D" w14:textId="078DC0EE"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Il y a une dépénalisation de fait, sa consommation provoquant toutefois des coûts socio-sanitaires qui doivent être évités (chez les jeunes) : ainsi, on estime que l’individu ne doit pas consommer trop de cannabis et est visée une intervention précoce sur le plan de la prévention. </w:t>
      </w:r>
    </w:p>
    <w:p w14:paraId="2B1EC45A" w14:textId="565F627C" w:rsidR="00754D56" w:rsidRPr="00E164DB" w:rsidRDefault="00754D56" w:rsidP="00F10D45">
      <w:pPr>
        <w:pStyle w:val="Titre2"/>
      </w:pPr>
      <w:bookmarkStart w:id="7" w:name="_Toc130379189"/>
      <w:r w:rsidRPr="00D42571">
        <w:t>Alcool</w:t>
      </w:r>
      <w:bookmarkEnd w:id="7"/>
    </w:p>
    <w:p w14:paraId="27E1846E" w14:textId="18CF41C5"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Ce produit jouit d’une liberté de commerce, pour lequel la publicité est autorisée et pour lequel les taxes sont relativement faibles. </w:t>
      </w:r>
    </w:p>
    <w:p w14:paraId="73F9E0D2" w14:textId="6E473A23"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Sa consommation est non problématique en dessous d’un certain seuil, le risque d’alcoolisme étant présent toutefois. L’individu reste responsable de sa consommation, seules des mesures sanitaires sont prises pour les cas d’alcoolisme. </w:t>
      </w:r>
    </w:p>
    <w:p w14:paraId="7E4E977D" w14:textId="77777777"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L’alcool est consommé depuis 5'000 ans, il représente une culture, un secteur important de l’économie, à la fois plaisir et difficulté, en d’autres termes une ambivalence. </w:t>
      </w:r>
    </w:p>
    <w:p w14:paraId="582107D9" w14:textId="50B69AFE" w:rsidR="00754D56" w:rsidRPr="00E164DB" w:rsidRDefault="00754D56" w:rsidP="00E164DB">
      <w:pPr>
        <w:pStyle w:val="Titre2"/>
      </w:pPr>
      <w:bookmarkStart w:id="8" w:name="_Toc130379190"/>
      <w:r w:rsidRPr="00D42571">
        <w:t>Tabac</w:t>
      </w:r>
      <w:bookmarkEnd w:id="8"/>
      <w:r w:rsidRPr="00D42571">
        <w:t xml:space="preserve"> </w:t>
      </w:r>
    </w:p>
    <w:p w14:paraId="0864D91E" w14:textId="00651A67"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Sa consommation fait l’objet de restrictions, la société estimant devoir être protégée contre les conséquences négatives de la fumée (interdiction de fumer dans les lieux publics et dans les bureaux par exemple). </w:t>
      </w:r>
    </w:p>
    <w:p w14:paraId="379789A2" w14:textId="0535E2BD" w:rsidR="00754D56" w:rsidRPr="00E164DB" w:rsidRDefault="00754D56" w:rsidP="00E164DB">
      <w:pPr>
        <w:pStyle w:val="Titre2"/>
      </w:pPr>
      <w:bookmarkStart w:id="9" w:name="_Toc130379191"/>
      <w:r w:rsidRPr="00D42571">
        <w:t>Dopage</w:t>
      </w:r>
      <w:bookmarkEnd w:id="9"/>
    </w:p>
    <w:p w14:paraId="6DF1C9D1" w14:textId="3B5903E9"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Il fait l’objet d’une prohibition totale, sa consommation n’est pas acceptable pour les sportifs, l’individu devant respecter les valeurs du sport (dépistage et sanctions). </w:t>
      </w:r>
    </w:p>
    <w:p w14:paraId="448AB563" w14:textId="532D6177" w:rsidR="00754D56" w:rsidRPr="00E164DB" w:rsidRDefault="00754D56" w:rsidP="00E164DB">
      <w:pPr>
        <w:pStyle w:val="Titre2"/>
      </w:pPr>
      <w:bookmarkStart w:id="10" w:name="_Toc130379192"/>
      <w:r w:rsidRPr="00D42571">
        <w:t>Benzodiazépines</w:t>
      </w:r>
      <w:bookmarkEnd w:id="10"/>
    </w:p>
    <w:p w14:paraId="0F00EA59" w14:textId="104C0801"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Sa distribution est faiblement contrôlée, sa consommation est jugée curative, comme médicament : l’individu est malade et a besoin de ce produit sous supervision médicale. </w:t>
      </w:r>
    </w:p>
    <w:p w14:paraId="3D95E01E" w14:textId="7AE4CE35" w:rsidR="00754D56" w:rsidRPr="00D42571" w:rsidRDefault="00754D56" w:rsidP="00E164DB">
      <w:pPr>
        <w:pStyle w:val="Titre2"/>
      </w:pPr>
      <w:bookmarkStart w:id="11" w:name="_Toc130379193"/>
      <w:r w:rsidRPr="00D42571">
        <w:t>Jeux d’argent</w:t>
      </w:r>
      <w:bookmarkEnd w:id="11"/>
    </w:p>
    <w:p w14:paraId="36C7C13D" w14:textId="1A93D614" w:rsidR="00754D56" w:rsidRPr="00D42571" w:rsidRDefault="00754D56" w:rsidP="006D54A0">
      <w:pPr>
        <w:spacing w:before="120" w:after="120" w:line="276" w:lineRule="auto"/>
        <w:jc w:val="both"/>
        <w:rPr>
          <w:rFonts w:ascii="Verdana" w:hAnsi="Verdana" w:cs="Arial"/>
          <w:bCs/>
          <w:sz w:val="20"/>
          <w:szCs w:val="20"/>
        </w:rPr>
      </w:pPr>
      <w:r w:rsidRPr="00D42571">
        <w:rPr>
          <w:rFonts w:ascii="Verdana" w:hAnsi="Verdana" w:cs="Arial"/>
          <w:bCs/>
          <w:sz w:val="20"/>
          <w:szCs w:val="20"/>
        </w:rPr>
        <w:t>L’Etat détient le monopole des jeux et octroie des concessions aux casinos : le jeu est vu comme non dangereux si pratiqué par des individus conscients et informés ; on estime qu’il peut faire des choix rationnels après avoir obtenu des informations sur les risques du jeu.</w:t>
      </w:r>
    </w:p>
    <w:p w14:paraId="567E87AD" w14:textId="4FC02259" w:rsidR="00754D56" w:rsidRPr="00D42571" w:rsidRDefault="00754D56" w:rsidP="00E164DB">
      <w:pPr>
        <w:pStyle w:val="Titre2"/>
      </w:pPr>
      <w:bookmarkStart w:id="12" w:name="_Toc130379194"/>
      <w:r w:rsidRPr="00D42571">
        <w:t>En résumé</w:t>
      </w:r>
      <w:r w:rsidR="002B3683" w:rsidRPr="00D42571">
        <w:t>, ironiquement parlant</w:t>
      </w:r>
      <w:bookmarkEnd w:id="12"/>
    </w:p>
    <w:p w14:paraId="4A9D2B1A" w14:textId="4A9DD183"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Primauté de la « guerre à la drogue »</w:t>
      </w:r>
    </w:p>
    <w:p w14:paraId="237B7937" w14:textId="2CC1777D"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Tout va bien avec l’alcool </w:t>
      </w:r>
    </w:p>
    <w:p w14:paraId="1511BC8C" w14:textId="4C817D4E"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Protection des tiers contre le tabagisme</w:t>
      </w:r>
    </w:p>
    <w:p w14:paraId="1EB0FF9E" w14:textId="63C8C454"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Négation du dopage</w:t>
      </w:r>
    </w:p>
    <w:p w14:paraId="6C741CE7" w14:textId="40A31B55"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Médicalisation des benzodiazépines </w:t>
      </w:r>
    </w:p>
    <w:p w14:paraId="4C5C650B" w14:textId="48A1A13F" w:rsidR="00754D56" w:rsidRPr="00D42571" w:rsidRDefault="00754D56" w:rsidP="006D54A0">
      <w:pPr>
        <w:pStyle w:val="Paragraphedeliste"/>
        <w:numPr>
          <w:ilvl w:val="0"/>
          <w:numId w:val="3"/>
        </w:numPr>
        <w:spacing w:before="120" w:after="120" w:line="276" w:lineRule="auto"/>
        <w:jc w:val="both"/>
        <w:rPr>
          <w:rFonts w:ascii="Verdana" w:hAnsi="Verdana" w:cs="Arial"/>
          <w:bCs/>
          <w:sz w:val="20"/>
          <w:szCs w:val="20"/>
        </w:rPr>
      </w:pPr>
      <w:r w:rsidRPr="00D42571">
        <w:rPr>
          <w:rFonts w:ascii="Verdana" w:hAnsi="Verdana" w:cs="Arial"/>
          <w:bCs/>
          <w:sz w:val="20"/>
          <w:szCs w:val="20"/>
        </w:rPr>
        <w:t xml:space="preserve">Responsabilisation des joueurs </w:t>
      </w:r>
    </w:p>
    <w:p w14:paraId="1463605B" w14:textId="77777777" w:rsidR="00274AF5" w:rsidRDefault="00274AF5" w:rsidP="006D54A0">
      <w:pPr>
        <w:spacing w:before="120" w:after="120"/>
        <w:jc w:val="both"/>
        <w:rPr>
          <w:rFonts w:ascii="Verdana" w:hAnsi="Verdana" w:cs="Arial"/>
          <w:sz w:val="20"/>
          <w:szCs w:val="20"/>
        </w:rPr>
      </w:pPr>
      <w:r>
        <w:rPr>
          <w:rFonts w:ascii="Verdana" w:hAnsi="Verdana" w:cs="Arial"/>
          <w:sz w:val="20"/>
          <w:szCs w:val="20"/>
        </w:rPr>
        <w:br w:type="page"/>
      </w:r>
    </w:p>
    <w:p w14:paraId="6C013364" w14:textId="7751B395"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lastRenderedPageBreak/>
        <w:t>Tableau montrant dans le temps l’installation d’une dépendance</w:t>
      </w:r>
      <w:r w:rsidR="005B4520" w:rsidRPr="00D42571">
        <w:rPr>
          <w:rFonts w:ascii="Verdana" w:hAnsi="Verdana" w:cs="Arial"/>
          <w:sz w:val="20"/>
          <w:szCs w:val="20"/>
        </w:rPr>
        <w:t xml:space="preserve"> à certains produits</w:t>
      </w:r>
      <w:r w:rsidRPr="00D42571">
        <w:rPr>
          <w:rFonts w:ascii="Verdana" w:hAnsi="Verdana" w:cs="Arial"/>
          <w:sz w:val="20"/>
          <w:szCs w:val="20"/>
        </w:rPr>
        <w:t xml:space="preserve">, et qui brise </w:t>
      </w:r>
      <w:r w:rsidR="00091611" w:rsidRPr="00D42571">
        <w:rPr>
          <w:rFonts w:ascii="Verdana" w:hAnsi="Verdana" w:cs="Arial"/>
          <w:sz w:val="20"/>
          <w:szCs w:val="20"/>
        </w:rPr>
        <w:t>certaines</w:t>
      </w:r>
      <w:r w:rsidRPr="00D42571">
        <w:rPr>
          <w:rFonts w:ascii="Verdana" w:hAnsi="Verdana" w:cs="Arial"/>
          <w:sz w:val="20"/>
          <w:szCs w:val="20"/>
        </w:rPr>
        <w:t xml:space="preserve"> représentations sociales :</w:t>
      </w:r>
    </w:p>
    <w:p w14:paraId="051D8136" w14:textId="77777777"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noProof/>
          <w:sz w:val="20"/>
          <w:szCs w:val="20"/>
          <w:lang w:eastAsia="fr-CH"/>
        </w:rPr>
        <w:drawing>
          <wp:inline distT="0" distB="0" distL="0" distR="0" wp14:anchorId="560274DA" wp14:editId="3749C116">
            <wp:extent cx="5760720" cy="3543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543300"/>
                    </a:xfrm>
                    <a:prstGeom prst="rect">
                      <a:avLst/>
                    </a:prstGeom>
                  </pic:spPr>
                </pic:pic>
              </a:graphicData>
            </a:graphic>
          </wp:inline>
        </w:drawing>
      </w:r>
    </w:p>
    <w:p w14:paraId="57F2AE16" w14:textId="77777777"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 xml:space="preserve">La nicotine </w:t>
      </w:r>
      <w:r w:rsidRPr="00D42571">
        <w:rPr>
          <w:rFonts w:ascii="Verdana" w:hAnsi="Verdana" w:cs="Arial"/>
          <w:sz w:val="20"/>
          <w:szCs w:val="20"/>
        </w:rPr>
        <w:sym w:font="Wingdings" w:char="F0E0"/>
      </w:r>
      <w:r w:rsidRPr="00D42571">
        <w:rPr>
          <w:rFonts w:ascii="Verdana" w:hAnsi="Verdana" w:cs="Arial"/>
          <w:sz w:val="20"/>
          <w:szCs w:val="20"/>
        </w:rPr>
        <w:t xml:space="preserve"> 2/3 des consommateurs de tabac deviendront dépendants à la nicotine</w:t>
      </w:r>
    </w:p>
    <w:p w14:paraId="140D680C" w14:textId="06F059CC" w:rsidR="00F05130" w:rsidRPr="00D42571" w:rsidRDefault="0009161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L</w:t>
      </w:r>
      <w:r w:rsidR="00F05130" w:rsidRPr="00D42571">
        <w:rPr>
          <w:rFonts w:ascii="Verdana" w:hAnsi="Verdana" w:cs="Arial"/>
          <w:sz w:val="20"/>
          <w:szCs w:val="20"/>
        </w:rPr>
        <w:t>a cocaïne a un effet addictif (et donc problématique) identique à l’alcool (héroïne également)</w:t>
      </w:r>
    </w:p>
    <w:p w14:paraId="615D56F8" w14:textId="32A970F9"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Enfin, pour le cannabis il y aurait deux fois moins de personnes dépendantes que pour l’alcool et la cocaïne</w:t>
      </w:r>
      <w:r w:rsidR="00091611" w:rsidRPr="00D42571">
        <w:rPr>
          <w:rFonts w:ascii="Verdana" w:hAnsi="Verdana" w:cs="Arial"/>
          <w:sz w:val="20"/>
          <w:szCs w:val="20"/>
        </w:rPr>
        <w:t>.</w:t>
      </w:r>
    </w:p>
    <w:p w14:paraId="562B1826" w14:textId="77777777" w:rsidR="00091611"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Plus on est un fort consommateur de drogues (alcool et tabac compris), plus on a de risque de développer une schizophrénie. </w:t>
      </w:r>
      <w:r w:rsidR="005B4520" w:rsidRPr="00D42571">
        <w:rPr>
          <w:rFonts w:ascii="Verdana" w:hAnsi="Verdana" w:cs="Arial"/>
          <w:sz w:val="20"/>
          <w:szCs w:val="20"/>
        </w:rPr>
        <w:t>Pourtant</w:t>
      </w:r>
      <w:r w:rsidRPr="00D42571">
        <w:rPr>
          <w:rFonts w:ascii="Verdana" w:hAnsi="Verdana" w:cs="Arial"/>
          <w:sz w:val="20"/>
          <w:szCs w:val="20"/>
        </w:rPr>
        <w:t xml:space="preserve">, on parle toujours du cannabis, </w:t>
      </w:r>
      <w:r w:rsidR="005B4520" w:rsidRPr="00D42571">
        <w:rPr>
          <w:rFonts w:ascii="Verdana" w:hAnsi="Verdana" w:cs="Arial"/>
          <w:sz w:val="20"/>
          <w:szCs w:val="20"/>
        </w:rPr>
        <w:t xml:space="preserve">ce qui prouve </w:t>
      </w:r>
      <w:r w:rsidRPr="00D42571">
        <w:rPr>
          <w:rFonts w:ascii="Verdana" w:hAnsi="Verdana" w:cs="Arial"/>
          <w:sz w:val="20"/>
          <w:szCs w:val="20"/>
        </w:rPr>
        <w:t>que l’opinion public peut-être biaisé.</w:t>
      </w:r>
    </w:p>
    <w:p w14:paraId="70547FCF" w14:textId="5D35202A"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De même, il a été prouvé que l’alcool était la drogue qui provoquait le plus de dégâts sur la santé. Mais là aussi, les intérêts (</w:t>
      </w:r>
      <w:r w:rsidR="005B4520" w:rsidRPr="00D42571">
        <w:rPr>
          <w:rFonts w:ascii="Verdana" w:hAnsi="Verdana" w:cs="Arial"/>
          <w:sz w:val="20"/>
          <w:szCs w:val="20"/>
        </w:rPr>
        <w:t xml:space="preserve">surtout </w:t>
      </w:r>
      <w:r w:rsidRPr="00D42571">
        <w:rPr>
          <w:rFonts w:ascii="Verdana" w:hAnsi="Verdana" w:cs="Arial"/>
          <w:sz w:val="20"/>
          <w:szCs w:val="20"/>
        </w:rPr>
        <w:t xml:space="preserve">économiques) et l’opinion publique </w:t>
      </w:r>
      <w:r w:rsidR="005B4520" w:rsidRPr="00D42571">
        <w:rPr>
          <w:rFonts w:ascii="Verdana" w:hAnsi="Verdana" w:cs="Arial"/>
          <w:sz w:val="20"/>
          <w:szCs w:val="20"/>
        </w:rPr>
        <w:t>n</w:t>
      </w:r>
      <w:r w:rsidRPr="00D42571">
        <w:rPr>
          <w:rFonts w:ascii="Verdana" w:hAnsi="Verdana" w:cs="Arial"/>
          <w:sz w:val="20"/>
          <w:szCs w:val="20"/>
        </w:rPr>
        <w:t>e veulent pas l’entendre.</w:t>
      </w:r>
    </w:p>
    <w:p w14:paraId="22B80E0C" w14:textId="11ED5E90" w:rsidR="0044247F" w:rsidRPr="00E164DB" w:rsidRDefault="000F05A6" w:rsidP="00997273">
      <w:pPr>
        <w:pStyle w:val="Titre2"/>
      </w:pPr>
      <w:bookmarkStart w:id="13" w:name="_Toc130379195"/>
      <w:r w:rsidRPr="00E164DB">
        <w:t>Prohibition des drogues illégales : dates-clés</w:t>
      </w:r>
      <w:bookmarkEnd w:id="13"/>
      <w:r w:rsidRPr="00E164DB">
        <w:t xml:space="preserve"> </w:t>
      </w:r>
    </w:p>
    <w:p w14:paraId="2B1FA011" w14:textId="3B0D109E"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1951 : interdiction du commerce (</w:t>
      </w:r>
      <w:proofErr w:type="spellStart"/>
      <w:r w:rsidRPr="00D42571">
        <w:rPr>
          <w:rFonts w:ascii="Verdana" w:hAnsi="Verdana" w:cs="Arial"/>
          <w:sz w:val="20"/>
          <w:szCs w:val="20"/>
        </w:rPr>
        <w:t>LStup</w:t>
      </w:r>
      <w:proofErr w:type="spellEnd"/>
      <w:r w:rsidRPr="00D42571">
        <w:rPr>
          <w:rFonts w:ascii="Verdana" w:hAnsi="Verdana" w:cs="Arial"/>
          <w:sz w:val="20"/>
          <w:szCs w:val="20"/>
        </w:rPr>
        <w:t xml:space="preserve">) </w:t>
      </w:r>
    </w:p>
    <w:p w14:paraId="2B48869D" w14:textId="77777777"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1961 : Convention unique sur les stupéfiants de 1961 (RS 0.812.121.0)</w:t>
      </w:r>
    </w:p>
    <w:p w14:paraId="1D8F1752" w14:textId="77777777"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1968 : interdiction de la consommation par le TF </w:t>
      </w:r>
    </w:p>
    <w:p w14:paraId="51F95FD4" w14:textId="77777777"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1988 : Convention de nations Unies contre le trafic illicite de stupéfiants et de substances psychotropes (RS 0.812.121.03) </w:t>
      </w:r>
    </w:p>
    <w:p w14:paraId="6C3F6EA5" w14:textId="77777777" w:rsidR="000F05A6" w:rsidRPr="00D42571" w:rsidRDefault="000F05A6" w:rsidP="006D54A0">
      <w:pPr>
        <w:spacing w:before="120" w:after="120" w:line="276" w:lineRule="auto"/>
        <w:jc w:val="both"/>
        <w:rPr>
          <w:rFonts w:ascii="Verdana" w:hAnsi="Verdana" w:cs="Arial"/>
          <w:sz w:val="20"/>
          <w:szCs w:val="20"/>
        </w:rPr>
      </w:pPr>
      <w:r w:rsidRPr="00D42571">
        <w:rPr>
          <w:rFonts w:ascii="Verdana" w:hAnsi="Verdana" w:cs="Arial"/>
          <w:sz w:val="20"/>
          <w:szCs w:val="20"/>
        </w:rPr>
        <w:t>1989 : rapport de la Commission fédérale pour les questions liées aux drogues (CFLD) sur la dépénalisation des drogues en Suisse</w:t>
      </w:r>
    </w:p>
    <w:p w14:paraId="384F82CC" w14:textId="77777777" w:rsidR="00274AF5" w:rsidRDefault="00274AF5" w:rsidP="006D54A0">
      <w:pPr>
        <w:spacing w:before="120" w:after="120"/>
        <w:jc w:val="both"/>
        <w:rPr>
          <w:rFonts w:ascii="Verdana" w:hAnsi="Verdana" w:cs="Arial"/>
          <w:sz w:val="20"/>
          <w:szCs w:val="20"/>
        </w:rPr>
      </w:pPr>
      <w:r>
        <w:rPr>
          <w:rFonts w:ascii="Verdana" w:hAnsi="Verdana" w:cs="Arial"/>
          <w:sz w:val="20"/>
          <w:szCs w:val="20"/>
        </w:rPr>
        <w:br w:type="page"/>
      </w:r>
    </w:p>
    <w:p w14:paraId="1EC23F10" w14:textId="0677ADB4" w:rsidR="00F05130" w:rsidRPr="00D42571" w:rsidRDefault="00F05130" w:rsidP="00997273">
      <w:pPr>
        <w:pStyle w:val="Titre2"/>
      </w:pPr>
      <w:bookmarkStart w:id="14" w:name="_Toc130379196"/>
      <w:r w:rsidRPr="00D42571">
        <w:lastRenderedPageBreak/>
        <w:t>Le contexte politique</w:t>
      </w:r>
      <w:bookmarkEnd w:id="14"/>
    </w:p>
    <w:p w14:paraId="0050D4D0" w14:textId="6585A507" w:rsidR="0015783B" w:rsidRPr="00D42571" w:rsidRDefault="0015783B"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Quel est le but d’une politique en matière d’addiction ? Doit-elle répondre aux exigences suivantes ? </w:t>
      </w:r>
    </w:p>
    <w:p w14:paraId="3F24FF7A" w14:textId="7B89AA39"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R</w:t>
      </w:r>
      <w:r w:rsidR="00F05130" w:rsidRPr="00D42571">
        <w:rPr>
          <w:rFonts w:ascii="Verdana" w:hAnsi="Verdana" w:cs="Arial"/>
          <w:sz w:val="20"/>
          <w:szCs w:val="20"/>
        </w:rPr>
        <w:t>éduire les problèmes sociaux</w:t>
      </w:r>
    </w:p>
    <w:p w14:paraId="0969B128" w14:textId="1BB2C862"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P</w:t>
      </w:r>
      <w:r w:rsidR="00F05130" w:rsidRPr="00D42571">
        <w:rPr>
          <w:rFonts w:ascii="Verdana" w:hAnsi="Verdana" w:cs="Arial"/>
          <w:sz w:val="20"/>
          <w:szCs w:val="20"/>
        </w:rPr>
        <w:t>rotéger la santé de l’individu</w:t>
      </w:r>
    </w:p>
    <w:p w14:paraId="7D2803F5" w14:textId="7DE36015" w:rsidR="0015783B"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 xml:space="preserve">Offrir des débouchés à l’industrie </w:t>
      </w:r>
    </w:p>
    <w:p w14:paraId="446DDC9A" w14:textId="2C52FE17" w:rsidR="0015783B"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 xml:space="preserve">Générer des ressources fiscales </w:t>
      </w:r>
    </w:p>
    <w:p w14:paraId="36BE0A19" w14:textId="6F1A03CB"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R</w:t>
      </w:r>
      <w:r w:rsidR="00F05130" w:rsidRPr="00D42571">
        <w:rPr>
          <w:rFonts w:ascii="Verdana" w:hAnsi="Verdana" w:cs="Arial"/>
          <w:sz w:val="20"/>
          <w:szCs w:val="20"/>
        </w:rPr>
        <w:t>assurer le public et garantir l’ordre public</w:t>
      </w:r>
    </w:p>
    <w:p w14:paraId="33962E42" w14:textId="143B06F7"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P</w:t>
      </w:r>
      <w:r w:rsidR="00F05130" w:rsidRPr="00D42571">
        <w:rPr>
          <w:rFonts w:ascii="Verdana" w:hAnsi="Verdana" w:cs="Arial"/>
          <w:sz w:val="20"/>
          <w:szCs w:val="20"/>
        </w:rPr>
        <w:t>rotéger le paysage</w:t>
      </w:r>
      <w:r w:rsidR="0044247F" w:rsidRPr="00D42571">
        <w:rPr>
          <w:rFonts w:ascii="Verdana" w:hAnsi="Verdana" w:cs="Arial"/>
          <w:sz w:val="20"/>
          <w:szCs w:val="20"/>
        </w:rPr>
        <w:t xml:space="preserve"> (déchets sauvages)</w:t>
      </w:r>
    </w:p>
    <w:p w14:paraId="23797744" w14:textId="511BE57F"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A</w:t>
      </w:r>
      <w:r w:rsidR="0044247F" w:rsidRPr="00D42571">
        <w:rPr>
          <w:rFonts w:ascii="Verdana" w:hAnsi="Verdana" w:cs="Arial"/>
          <w:sz w:val="20"/>
          <w:szCs w:val="20"/>
        </w:rPr>
        <w:t>ugmenter la</w:t>
      </w:r>
      <w:r w:rsidR="00F05130" w:rsidRPr="00D42571">
        <w:rPr>
          <w:rFonts w:ascii="Verdana" w:hAnsi="Verdana" w:cs="Arial"/>
          <w:sz w:val="20"/>
          <w:szCs w:val="20"/>
        </w:rPr>
        <w:t xml:space="preserve"> sécurité routière et </w:t>
      </w:r>
      <w:r w:rsidR="0044247F" w:rsidRPr="00D42571">
        <w:rPr>
          <w:rFonts w:ascii="Verdana" w:hAnsi="Verdana" w:cs="Arial"/>
          <w:sz w:val="20"/>
          <w:szCs w:val="20"/>
        </w:rPr>
        <w:t>prévenir de la</w:t>
      </w:r>
      <w:r w:rsidR="00F05130" w:rsidRPr="00D42571">
        <w:rPr>
          <w:rFonts w:ascii="Verdana" w:hAnsi="Verdana" w:cs="Arial"/>
          <w:sz w:val="20"/>
          <w:szCs w:val="20"/>
        </w:rPr>
        <w:t xml:space="preserve"> souffrance humaine</w:t>
      </w:r>
    </w:p>
    <w:p w14:paraId="567FD801" w14:textId="77F631BA" w:rsidR="0015783B" w:rsidRPr="00D42571" w:rsidRDefault="0015783B"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L’espace politique est composé de groupes sociaux aux intérêts divergents et aux ressources inégales pour représenter leurs intérêts : la politique est donc la gestion sociale des conflits entre les intérêts de ces groupes sociaux. </w:t>
      </w:r>
    </w:p>
    <w:p w14:paraId="05E124A7" w14:textId="1C893BDC" w:rsidR="00F05130" w:rsidRPr="00D42571" w:rsidRDefault="0015783B" w:rsidP="006D54A0">
      <w:pPr>
        <w:spacing w:before="120" w:after="120" w:line="276" w:lineRule="auto"/>
        <w:jc w:val="both"/>
        <w:rPr>
          <w:rFonts w:ascii="Verdana" w:hAnsi="Verdana" w:cs="Arial"/>
          <w:sz w:val="20"/>
          <w:szCs w:val="20"/>
        </w:rPr>
      </w:pPr>
      <w:r w:rsidRPr="00D42571">
        <w:rPr>
          <w:rFonts w:ascii="Verdana" w:hAnsi="Verdana" w:cs="Arial"/>
          <w:sz w:val="20"/>
          <w:szCs w:val="20"/>
        </w:rPr>
        <w:t>Les</w:t>
      </w:r>
      <w:r w:rsidR="00F05130" w:rsidRPr="00D42571">
        <w:rPr>
          <w:rFonts w:ascii="Verdana" w:hAnsi="Verdana" w:cs="Arial"/>
          <w:sz w:val="20"/>
          <w:szCs w:val="20"/>
        </w:rPr>
        <w:t xml:space="preserve"> lois ne sont </w:t>
      </w:r>
      <w:r w:rsidRPr="00D42571">
        <w:rPr>
          <w:rFonts w:ascii="Verdana" w:hAnsi="Verdana" w:cs="Arial"/>
          <w:sz w:val="20"/>
          <w:szCs w:val="20"/>
        </w:rPr>
        <w:t xml:space="preserve">ainsi </w:t>
      </w:r>
      <w:r w:rsidR="00F05130" w:rsidRPr="00D42571">
        <w:rPr>
          <w:rFonts w:ascii="Verdana" w:hAnsi="Verdana" w:cs="Arial"/>
          <w:sz w:val="20"/>
          <w:szCs w:val="20"/>
        </w:rPr>
        <w:t>pas basé</w:t>
      </w:r>
      <w:r w:rsidR="0044247F" w:rsidRPr="00D42571">
        <w:rPr>
          <w:rFonts w:ascii="Verdana" w:hAnsi="Verdana" w:cs="Arial"/>
          <w:sz w:val="20"/>
          <w:szCs w:val="20"/>
        </w:rPr>
        <w:t>e</w:t>
      </w:r>
      <w:r w:rsidR="00F05130" w:rsidRPr="00D42571">
        <w:rPr>
          <w:rFonts w:ascii="Verdana" w:hAnsi="Verdana" w:cs="Arial"/>
          <w:sz w:val="20"/>
          <w:szCs w:val="20"/>
        </w:rPr>
        <w:t>s sur de la science ou de la morale, mais sur des rapports de force entre groupes sociaux. Ceci débouche</w:t>
      </w:r>
      <w:r w:rsidR="0044247F" w:rsidRPr="00D42571">
        <w:rPr>
          <w:rFonts w:ascii="Verdana" w:hAnsi="Verdana" w:cs="Arial"/>
          <w:sz w:val="20"/>
          <w:szCs w:val="20"/>
        </w:rPr>
        <w:t xml:space="preserve"> parfois</w:t>
      </w:r>
      <w:r w:rsidR="00F05130" w:rsidRPr="00D42571">
        <w:rPr>
          <w:rFonts w:ascii="Verdana" w:hAnsi="Verdana" w:cs="Arial"/>
          <w:sz w:val="20"/>
          <w:szCs w:val="20"/>
        </w:rPr>
        <w:t xml:space="preserve"> sur ces paradoxes (p.ex. fond</w:t>
      </w:r>
      <w:r w:rsidR="0044247F" w:rsidRPr="00D42571">
        <w:rPr>
          <w:rFonts w:ascii="Verdana" w:hAnsi="Verdana" w:cs="Arial"/>
          <w:sz w:val="20"/>
          <w:szCs w:val="20"/>
        </w:rPr>
        <w:t>s</w:t>
      </w:r>
      <w:r w:rsidR="00F05130" w:rsidRPr="00D42571">
        <w:rPr>
          <w:rFonts w:ascii="Verdana" w:hAnsi="Verdana" w:cs="Arial"/>
          <w:sz w:val="20"/>
          <w:szCs w:val="20"/>
        </w:rPr>
        <w:t xml:space="preserve"> équivalent</w:t>
      </w:r>
      <w:r w:rsidR="0044247F" w:rsidRPr="00D42571">
        <w:rPr>
          <w:rFonts w:ascii="Verdana" w:hAnsi="Verdana" w:cs="Arial"/>
          <w:sz w:val="20"/>
          <w:szCs w:val="20"/>
        </w:rPr>
        <w:t>s</w:t>
      </w:r>
      <w:r w:rsidR="00F05130" w:rsidRPr="00D42571">
        <w:rPr>
          <w:rFonts w:ascii="Verdana" w:hAnsi="Verdana" w:cs="Arial"/>
          <w:sz w:val="20"/>
          <w:szCs w:val="20"/>
        </w:rPr>
        <w:t xml:space="preserve"> pour la prévention contre le tabagisme que pour promouvoir la culture du tabac en Suisse)</w:t>
      </w:r>
      <w:r w:rsidR="0044247F" w:rsidRPr="00D42571">
        <w:rPr>
          <w:rFonts w:ascii="Verdana" w:hAnsi="Verdana" w:cs="Arial"/>
          <w:sz w:val="20"/>
          <w:szCs w:val="20"/>
        </w:rPr>
        <w:t>.</w:t>
      </w:r>
    </w:p>
    <w:p w14:paraId="2947CFF2" w14:textId="5387E10C" w:rsidR="00F05130" w:rsidRPr="00D42571" w:rsidRDefault="0015783B" w:rsidP="006D54A0">
      <w:pPr>
        <w:spacing w:before="120" w:after="120" w:line="276" w:lineRule="auto"/>
        <w:jc w:val="both"/>
        <w:rPr>
          <w:rFonts w:ascii="Verdana" w:hAnsi="Verdana" w:cs="Arial"/>
          <w:sz w:val="20"/>
          <w:szCs w:val="20"/>
        </w:rPr>
      </w:pPr>
      <w:r w:rsidRPr="00D42571">
        <w:rPr>
          <w:rFonts w:ascii="Verdana" w:hAnsi="Verdana" w:cs="Arial"/>
          <w:sz w:val="20"/>
          <w:szCs w:val="20"/>
        </w:rPr>
        <w:t>On constate finalement que</w:t>
      </w:r>
      <w:r w:rsidR="00F05130" w:rsidRPr="00D42571">
        <w:rPr>
          <w:rFonts w:ascii="Verdana" w:hAnsi="Verdana" w:cs="Arial"/>
          <w:sz w:val="20"/>
          <w:szCs w:val="20"/>
        </w:rPr>
        <w:t xml:space="preserve"> les groupes sociaux les plus concernés par des lois potentielles sont absents des débats car ils n’ont pas su se positionner correctement, ou parce qu’on considère que leur voix d’addict compte moins. </w:t>
      </w:r>
    </w:p>
    <w:p w14:paraId="050AD247" w14:textId="0027F2B2" w:rsidR="00012042" w:rsidRPr="00D42571" w:rsidRDefault="00012042"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Les coalitions en cause sont </w:t>
      </w:r>
    </w:p>
    <w:p w14:paraId="179659F4" w14:textId="1104D78E" w:rsidR="00012042"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Abstinence</w:t>
      </w:r>
      <w:r w:rsidR="00012042" w:rsidRPr="00D42571">
        <w:rPr>
          <w:rFonts w:ascii="Verdana" w:hAnsi="Verdana" w:cs="Arial"/>
          <w:sz w:val="20"/>
          <w:szCs w:val="20"/>
        </w:rPr>
        <w:t> : pour une société sans drogues</w:t>
      </w:r>
    </w:p>
    <w:p w14:paraId="2DF7B748" w14:textId="58C14609" w:rsidR="00012042"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Qualité de vie</w:t>
      </w:r>
      <w:r w:rsidR="00012042" w:rsidRPr="00D42571">
        <w:rPr>
          <w:rFonts w:ascii="Verdana" w:hAnsi="Verdana" w:cs="Arial"/>
          <w:sz w:val="20"/>
          <w:szCs w:val="20"/>
        </w:rPr>
        <w:t xml:space="preserve"> : pour des villes prospères et une vie de quartier tranquille </w:t>
      </w:r>
    </w:p>
    <w:p w14:paraId="16160014" w14:textId="297826F7" w:rsidR="00012042"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Réduction des risques</w:t>
      </w:r>
      <w:r w:rsidR="00012042" w:rsidRPr="00D42571">
        <w:rPr>
          <w:rFonts w:ascii="Verdana" w:hAnsi="Verdana" w:cs="Arial"/>
          <w:sz w:val="20"/>
          <w:szCs w:val="20"/>
        </w:rPr>
        <w:t> : pour le respect des droits de</w:t>
      </w:r>
      <w:r w:rsidR="00274AF5">
        <w:rPr>
          <w:rFonts w:ascii="Verdana" w:hAnsi="Verdana" w:cs="Arial"/>
          <w:sz w:val="20"/>
          <w:szCs w:val="20"/>
        </w:rPr>
        <w:t>s</w:t>
      </w:r>
      <w:r w:rsidR="00012042" w:rsidRPr="00D42571">
        <w:rPr>
          <w:rFonts w:ascii="Verdana" w:hAnsi="Verdana" w:cs="Arial"/>
          <w:sz w:val="20"/>
          <w:szCs w:val="20"/>
        </w:rPr>
        <w:t xml:space="preserve"> usagers de drogues</w:t>
      </w:r>
    </w:p>
    <w:p w14:paraId="43013002" w14:textId="77777777" w:rsidR="00F05130" w:rsidRPr="00D42571" w:rsidRDefault="00F05130" w:rsidP="00997273">
      <w:pPr>
        <w:pStyle w:val="Titre2"/>
      </w:pPr>
      <w:bookmarkStart w:id="15" w:name="_Toc130379197"/>
      <w:r w:rsidRPr="00D42571">
        <w:t>La politique des 4 piliers</w:t>
      </w:r>
      <w:bookmarkEnd w:id="15"/>
    </w:p>
    <w:p w14:paraId="1F9BA64E" w14:textId="30A49E6F"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Le but est de faire co-exister dans un même modèle des approches différentes, à savoir </w:t>
      </w:r>
    </w:p>
    <w:p w14:paraId="3147AF31" w14:textId="44D32CEE"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Prévention</w:t>
      </w:r>
      <w:r w:rsidR="00366F0A" w:rsidRPr="00D42571">
        <w:rPr>
          <w:rFonts w:ascii="Verdana" w:hAnsi="Verdana" w:cs="Arial"/>
          <w:sz w:val="20"/>
          <w:szCs w:val="20"/>
        </w:rPr>
        <w:t> : éviter les consommations et renforcer les compétences individuelles et collectives</w:t>
      </w:r>
    </w:p>
    <w:p w14:paraId="2618AEC3" w14:textId="784819E8"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Traitement</w:t>
      </w:r>
      <w:r w:rsidRPr="00D42571">
        <w:rPr>
          <w:rFonts w:ascii="Verdana" w:hAnsi="Verdana" w:cs="Arial"/>
          <w:sz w:val="20"/>
          <w:szCs w:val="20"/>
        </w:rPr>
        <w:t xml:space="preserve"> : </w:t>
      </w:r>
      <w:r w:rsidR="00366F0A" w:rsidRPr="00D42571">
        <w:rPr>
          <w:rFonts w:ascii="Verdana" w:hAnsi="Verdana" w:cs="Arial"/>
          <w:sz w:val="20"/>
          <w:szCs w:val="20"/>
        </w:rPr>
        <w:t xml:space="preserve">offrir un accompagnement adapté pour retrouver son autonomie en cas d’addiction </w:t>
      </w:r>
    </w:p>
    <w:p w14:paraId="2A7F3D91" w14:textId="4663BC53"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Réduction des risques</w:t>
      </w:r>
      <w:r w:rsidRPr="00D42571">
        <w:rPr>
          <w:rFonts w:ascii="Verdana" w:hAnsi="Verdana" w:cs="Arial"/>
          <w:sz w:val="20"/>
          <w:szCs w:val="20"/>
        </w:rPr>
        <w:t> : nouvelles mesures visant à réduire les problèmes liés à l’usage de drogues plutôt que de vouloir combattre la drogue elle-même</w:t>
      </w:r>
      <w:r w:rsidR="00260332" w:rsidRPr="00D42571">
        <w:rPr>
          <w:rFonts w:ascii="Verdana" w:hAnsi="Verdana" w:cs="Arial"/>
          <w:sz w:val="20"/>
          <w:szCs w:val="20"/>
        </w:rPr>
        <w:t> :</w:t>
      </w:r>
    </w:p>
    <w:p w14:paraId="6E69B798" w14:textId="77777777" w:rsidR="00F05130" w:rsidRPr="00D42571" w:rsidRDefault="00F05130" w:rsidP="006D54A0">
      <w:pPr>
        <w:pStyle w:val="Paragraphedeliste"/>
        <w:numPr>
          <w:ilvl w:val="1"/>
          <w:numId w:val="2"/>
        </w:numPr>
        <w:spacing w:before="120" w:after="120" w:line="276" w:lineRule="auto"/>
        <w:jc w:val="both"/>
        <w:rPr>
          <w:rFonts w:ascii="Verdana" w:hAnsi="Verdana" w:cs="Arial"/>
          <w:sz w:val="20"/>
          <w:szCs w:val="20"/>
        </w:rPr>
      </w:pPr>
      <w:r w:rsidRPr="00D42571">
        <w:rPr>
          <w:rFonts w:ascii="Verdana" w:hAnsi="Verdana" w:cs="Arial"/>
          <w:sz w:val="20"/>
          <w:szCs w:val="20"/>
        </w:rPr>
        <w:t>Criminalité</w:t>
      </w:r>
    </w:p>
    <w:p w14:paraId="68B52CD7" w14:textId="77777777" w:rsidR="00F05130" w:rsidRPr="00D42571" w:rsidRDefault="00F05130" w:rsidP="006D54A0">
      <w:pPr>
        <w:pStyle w:val="Paragraphedeliste"/>
        <w:numPr>
          <w:ilvl w:val="1"/>
          <w:numId w:val="2"/>
        </w:numPr>
        <w:spacing w:before="120" w:after="120" w:line="276" w:lineRule="auto"/>
        <w:jc w:val="both"/>
        <w:rPr>
          <w:rFonts w:ascii="Verdana" w:hAnsi="Verdana" w:cs="Arial"/>
          <w:sz w:val="20"/>
          <w:szCs w:val="20"/>
        </w:rPr>
      </w:pPr>
      <w:r w:rsidRPr="00D42571">
        <w:rPr>
          <w:rFonts w:ascii="Verdana" w:hAnsi="Verdana" w:cs="Arial"/>
          <w:sz w:val="20"/>
          <w:szCs w:val="20"/>
        </w:rPr>
        <w:t>Propagation de maladies infectieuses</w:t>
      </w:r>
    </w:p>
    <w:p w14:paraId="0986203B" w14:textId="0AFA8B6E" w:rsidR="00F05130" w:rsidRPr="00D42571" w:rsidRDefault="00F05130" w:rsidP="006D54A0">
      <w:pPr>
        <w:pStyle w:val="Paragraphedeliste"/>
        <w:numPr>
          <w:ilvl w:val="1"/>
          <w:numId w:val="2"/>
        </w:numPr>
        <w:spacing w:before="120" w:after="120" w:line="276" w:lineRule="auto"/>
        <w:jc w:val="both"/>
        <w:rPr>
          <w:rFonts w:ascii="Verdana" w:hAnsi="Verdana" w:cs="Arial"/>
          <w:sz w:val="20"/>
          <w:szCs w:val="20"/>
        </w:rPr>
      </w:pPr>
      <w:r w:rsidRPr="00D42571">
        <w:rPr>
          <w:rFonts w:ascii="Verdana" w:hAnsi="Verdana" w:cs="Arial"/>
          <w:sz w:val="20"/>
          <w:szCs w:val="20"/>
        </w:rPr>
        <w:t>Problèmes socio-sanitaires et la dépendance</w:t>
      </w:r>
    </w:p>
    <w:p w14:paraId="48C3A1B3" w14:textId="601DB3F6" w:rsidR="00366F0A" w:rsidRPr="00D42571" w:rsidRDefault="00366F0A" w:rsidP="006D54A0">
      <w:pPr>
        <w:pStyle w:val="Paragraphedeliste"/>
        <w:numPr>
          <w:ilvl w:val="1"/>
          <w:numId w:val="2"/>
        </w:numPr>
        <w:spacing w:before="120" w:after="120" w:line="276" w:lineRule="auto"/>
        <w:jc w:val="both"/>
        <w:rPr>
          <w:rFonts w:ascii="Verdana" w:hAnsi="Verdana" w:cs="Arial"/>
          <w:sz w:val="20"/>
          <w:szCs w:val="20"/>
        </w:rPr>
      </w:pPr>
      <w:r w:rsidRPr="00D42571">
        <w:rPr>
          <w:rFonts w:ascii="Verdana" w:hAnsi="Verdana" w:cs="Arial"/>
          <w:sz w:val="20"/>
          <w:szCs w:val="20"/>
        </w:rPr>
        <w:t>Coûts de la répression</w:t>
      </w:r>
    </w:p>
    <w:p w14:paraId="050C1735" w14:textId="7B3C8CFF" w:rsidR="00F05130" w:rsidRPr="00D42571" w:rsidRDefault="00F05130" w:rsidP="006D54A0">
      <w:pPr>
        <w:pStyle w:val="Paragraphedeliste"/>
        <w:numPr>
          <w:ilvl w:val="1"/>
          <w:numId w:val="2"/>
        </w:numPr>
        <w:spacing w:before="120" w:after="120" w:line="276" w:lineRule="auto"/>
        <w:jc w:val="both"/>
        <w:rPr>
          <w:rFonts w:ascii="Verdana" w:hAnsi="Verdana" w:cs="Arial"/>
          <w:sz w:val="20"/>
          <w:szCs w:val="20"/>
        </w:rPr>
      </w:pPr>
      <w:r w:rsidRPr="00D42571">
        <w:rPr>
          <w:rFonts w:ascii="Verdana" w:hAnsi="Verdana" w:cs="Arial"/>
          <w:sz w:val="20"/>
          <w:szCs w:val="20"/>
        </w:rPr>
        <w:t>Visibilité du trafic et de la consommation</w:t>
      </w:r>
    </w:p>
    <w:p w14:paraId="71075DAD" w14:textId="015BA13E" w:rsidR="00366F0A" w:rsidRPr="00D42571" w:rsidRDefault="00366F0A"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Répression</w:t>
      </w:r>
      <w:r w:rsidRPr="00D42571">
        <w:rPr>
          <w:rFonts w:ascii="Verdana" w:hAnsi="Verdana" w:cs="Arial"/>
          <w:sz w:val="20"/>
          <w:szCs w:val="20"/>
        </w:rPr>
        <w:t> : réduire et perturber le marché illégal</w:t>
      </w:r>
    </w:p>
    <w:p w14:paraId="3BE302E1" w14:textId="5A928B74"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Il s’agit donc d’une </w:t>
      </w:r>
      <w:r w:rsidR="00366F0A" w:rsidRPr="00D42571">
        <w:rPr>
          <w:rFonts w:ascii="Verdana" w:hAnsi="Verdana" w:cs="Arial"/>
          <w:sz w:val="20"/>
          <w:szCs w:val="20"/>
        </w:rPr>
        <w:t>approche</w:t>
      </w:r>
      <w:r w:rsidRPr="00D42571">
        <w:rPr>
          <w:rFonts w:ascii="Verdana" w:hAnsi="Verdana" w:cs="Arial"/>
          <w:sz w:val="20"/>
          <w:szCs w:val="20"/>
        </w:rPr>
        <w:t xml:space="preserve"> qui </w:t>
      </w:r>
      <w:r w:rsidR="00366F0A" w:rsidRPr="00D42571">
        <w:rPr>
          <w:rFonts w:ascii="Verdana" w:hAnsi="Verdana" w:cs="Arial"/>
          <w:sz w:val="20"/>
          <w:szCs w:val="20"/>
        </w:rPr>
        <w:t>s’est imposée</w:t>
      </w:r>
      <w:r w:rsidRPr="00D42571">
        <w:rPr>
          <w:rFonts w:ascii="Verdana" w:hAnsi="Verdana" w:cs="Arial"/>
          <w:sz w:val="20"/>
          <w:szCs w:val="20"/>
        </w:rPr>
        <w:t xml:space="preserve"> dans différentes villes et qui porte ses fruits aujourd’hui. (</w:t>
      </w:r>
      <w:r w:rsidR="00274AF5" w:rsidRPr="00D42571">
        <w:rPr>
          <w:rFonts w:ascii="Verdana" w:hAnsi="Verdana" w:cs="Arial"/>
          <w:sz w:val="20"/>
          <w:szCs w:val="20"/>
        </w:rPr>
        <w:t>Salle</w:t>
      </w:r>
      <w:r w:rsidRPr="00D42571">
        <w:rPr>
          <w:rFonts w:ascii="Verdana" w:hAnsi="Verdana" w:cs="Arial"/>
          <w:sz w:val="20"/>
          <w:szCs w:val="20"/>
        </w:rPr>
        <w:t xml:space="preserve"> de consommation de Berne </w:t>
      </w:r>
      <w:r w:rsidRPr="00D42571">
        <w:rPr>
          <w:rFonts w:ascii="Verdana" w:hAnsi="Verdana" w:cs="Arial"/>
          <w:i/>
          <w:iCs/>
          <w:sz w:val="20"/>
          <w:szCs w:val="20"/>
        </w:rPr>
        <w:t>[première européenne]</w:t>
      </w:r>
      <w:r w:rsidRPr="00D42571">
        <w:rPr>
          <w:rFonts w:ascii="Verdana" w:hAnsi="Verdana" w:cs="Arial"/>
          <w:sz w:val="20"/>
          <w:szCs w:val="20"/>
        </w:rPr>
        <w:t xml:space="preserve"> en 1986</w:t>
      </w:r>
      <w:r w:rsidR="00B26214" w:rsidRPr="00D42571">
        <w:rPr>
          <w:rFonts w:ascii="Verdana" w:hAnsi="Verdana" w:cs="Arial"/>
          <w:sz w:val="20"/>
          <w:szCs w:val="20"/>
        </w:rPr>
        <w:t> : « </w:t>
      </w:r>
      <w:r w:rsidR="00B26214" w:rsidRPr="00D42571">
        <w:rPr>
          <w:rFonts w:ascii="Verdana" w:hAnsi="Verdana" w:cs="Arial"/>
          <w:i/>
          <w:iCs/>
          <w:sz w:val="20"/>
          <w:szCs w:val="20"/>
        </w:rPr>
        <w:t>la salle de consommation est mon meilleur outil pour la sécurité publique en ville de Berne</w:t>
      </w:r>
      <w:r w:rsidR="00B26214" w:rsidRPr="00D42571">
        <w:rPr>
          <w:rFonts w:ascii="Verdana" w:hAnsi="Verdana" w:cs="Arial"/>
          <w:sz w:val="20"/>
          <w:szCs w:val="20"/>
        </w:rPr>
        <w:t> » citation du chef de la police de l’arrondissement de Berne</w:t>
      </w:r>
      <w:r w:rsidRPr="00D42571">
        <w:rPr>
          <w:rFonts w:ascii="Verdana" w:hAnsi="Verdana" w:cs="Arial"/>
          <w:sz w:val="20"/>
          <w:szCs w:val="20"/>
        </w:rPr>
        <w:t>)</w:t>
      </w:r>
      <w:r w:rsidR="00366F0A" w:rsidRPr="00D42571">
        <w:rPr>
          <w:rFonts w:ascii="Verdana" w:hAnsi="Verdana" w:cs="Arial"/>
          <w:sz w:val="20"/>
          <w:szCs w:val="20"/>
        </w:rPr>
        <w:t>.</w:t>
      </w:r>
    </w:p>
    <w:p w14:paraId="0B000E0F" w14:textId="77777777" w:rsidR="00274AF5" w:rsidRDefault="00274AF5" w:rsidP="006D54A0">
      <w:pPr>
        <w:spacing w:before="120" w:after="120"/>
        <w:jc w:val="both"/>
        <w:rPr>
          <w:rFonts w:ascii="Verdana" w:hAnsi="Verdana" w:cs="Arial"/>
          <w:sz w:val="20"/>
          <w:szCs w:val="20"/>
        </w:rPr>
      </w:pPr>
      <w:r>
        <w:rPr>
          <w:rFonts w:ascii="Verdana" w:hAnsi="Verdana" w:cs="Arial"/>
          <w:sz w:val="20"/>
          <w:szCs w:val="20"/>
        </w:rPr>
        <w:br w:type="page"/>
      </w:r>
    </w:p>
    <w:p w14:paraId="7B61EDF2" w14:textId="118734C4" w:rsidR="00366F0A" w:rsidRPr="00D42571" w:rsidRDefault="00366F0A" w:rsidP="006D54A0">
      <w:pPr>
        <w:spacing w:before="120" w:after="120" w:line="276" w:lineRule="auto"/>
        <w:jc w:val="both"/>
        <w:rPr>
          <w:rFonts w:ascii="Verdana" w:hAnsi="Verdana" w:cs="Arial"/>
          <w:sz w:val="20"/>
          <w:szCs w:val="20"/>
        </w:rPr>
      </w:pPr>
      <w:r w:rsidRPr="00D42571">
        <w:rPr>
          <w:rFonts w:ascii="Verdana" w:hAnsi="Verdana" w:cs="Arial"/>
          <w:sz w:val="20"/>
          <w:szCs w:val="20"/>
        </w:rPr>
        <w:lastRenderedPageBreak/>
        <w:t>Il y a donc passage d’une approche traditionnelle (lutter contre les drogues) à une approche des 4 piliers, pour</w:t>
      </w:r>
    </w:p>
    <w:p w14:paraId="654E4666" w14:textId="1CC2ADD7" w:rsidR="00366F0A"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R</w:t>
      </w:r>
      <w:r w:rsidR="00366F0A" w:rsidRPr="00D42571">
        <w:rPr>
          <w:rFonts w:ascii="Verdana" w:hAnsi="Verdana" w:cs="Arial"/>
          <w:sz w:val="20"/>
          <w:szCs w:val="20"/>
        </w:rPr>
        <w:t>éduire les problèmes pour les usagers</w:t>
      </w:r>
    </w:p>
    <w:p w14:paraId="1269C616" w14:textId="0A420A45" w:rsidR="00366F0A"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R</w:t>
      </w:r>
      <w:r w:rsidR="00366F0A" w:rsidRPr="00D42571">
        <w:rPr>
          <w:rFonts w:ascii="Verdana" w:hAnsi="Verdana" w:cs="Arial"/>
          <w:sz w:val="20"/>
          <w:szCs w:val="20"/>
        </w:rPr>
        <w:t>éduire les problèmes pour la société</w:t>
      </w:r>
    </w:p>
    <w:p w14:paraId="5F328AE9" w14:textId="21BCB33E" w:rsidR="00366F0A"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R</w:t>
      </w:r>
      <w:r w:rsidR="00366F0A" w:rsidRPr="00D42571">
        <w:rPr>
          <w:rFonts w:ascii="Verdana" w:hAnsi="Verdana" w:cs="Arial"/>
          <w:sz w:val="20"/>
          <w:szCs w:val="20"/>
        </w:rPr>
        <w:t xml:space="preserve">éduire la consommation. </w:t>
      </w:r>
    </w:p>
    <w:p w14:paraId="0EF2352D" w14:textId="70FA91E8"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Il y a néanmoins un revers à la médaille :</w:t>
      </w:r>
    </w:p>
    <w:p w14:paraId="7CEEC51A" w14:textId="5E44BAB9"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L</w:t>
      </w:r>
      <w:r w:rsidR="00F05130" w:rsidRPr="00D42571">
        <w:rPr>
          <w:rFonts w:ascii="Verdana" w:hAnsi="Verdana" w:cs="Arial"/>
          <w:sz w:val="20"/>
          <w:szCs w:val="20"/>
        </w:rPr>
        <w:t>es sevrages forcés lors d’arrestations (48heures à sec</w:t>
      </w:r>
      <w:r w:rsidR="00FD34F4" w:rsidRPr="00D42571">
        <w:rPr>
          <w:rFonts w:ascii="Verdana" w:hAnsi="Verdana" w:cs="Arial"/>
          <w:sz w:val="20"/>
          <w:szCs w:val="20"/>
        </w:rPr>
        <w:t>, assimilé à une forme de torture</w:t>
      </w:r>
      <w:r w:rsidR="00F05130" w:rsidRPr="00D42571">
        <w:rPr>
          <w:rFonts w:ascii="Verdana" w:hAnsi="Verdana" w:cs="Arial"/>
          <w:sz w:val="20"/>
          <w:szCs w:val="20"/>
        </w:rPr>
        <w:t>)</w:t>
      </w:r>
    </w:p>
    <w:p w14:paraId="6F0C7AC4" w14:textId="5EB07F02" w:rsidR="00F05130"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A</w:t>
      </w:r>
      <w:r w:rsidR="00F05130" w:rsidRPr="00D42571">
        <w:rPr>
          <w:rFonts w:ascii="Verdana" w:hAnsi="Verdana" w:cs="Arial"/>
          <w:sz w:val="20"/>
          <w:szCs w:val="20"/>
        </w:rPr>
        <w:t xml:space="preserve">rrestations parfois </w:t>
      </w:r>
      <w:r w:rsidRPr="00D42571">
        <w:rPr>
          <w:rFonts w:ascii="Verdana" w:hAnsi="Verdana" w:cs="Arial"/>
          <w:sz w:val="20"/>
          <w:szCs w:val="20"/>
        </w:rPr>
        <w:t xml:space="preserve">musclées (décès idem </w:t>
      </w:r>
      <w:proofErr w:type="spellStart"/>
      <w:r w:rsidRPr="00D42571">
        <w:rPr>
          <w:rFonts w:ascii="Verdana" w:hAnsi="Verdana" w:cs="Arial"/>
          <w:sz w:val="20"/>
          <w:szCs w:val="20"/>
        </w:rPr>
        <w:t>george</w:t>
      </w:r>
      <w:proofErr w:type="spellEnd"/>
      <w:r w:rsidRPr="00D42571">
        <w:rPr>
          <w:rFonts w:ascii="Verdana" w:hAnsi="Verdana" w:cs="Arial"/>
          <w:sz w:val="20"/>
          <w:szCs w:val="20"/>
        </w:rPr>
        <w:t xml:space="preserve"> </w:t>
      </w:r>
      <w:proofErr w:type="spellStart"/>
      <w:r w:rsidRPr="00D42571">
        <w:rPr>
          <w:rFonts w:ascii="Verdana" w:hAnsi="Verdana" w:cs="Arial"/>
          <w:sz w:val="20"/>
          <w:szCs w:val="20"/>
        </w:rPr>
        <w:t>floyd</w:t>
      </w:r>
      <w:proofErr w:type="spellEnd"/>
      <w:r w:rsidRPr="00D42571">
        <w:rPr>
          <w:rFonts w:ascii="Verdana" w:hAnsi="Verdana" w:cs="Arial"/>
          <w:sz w:val="20"/>
          <w:szCs w:val="20"/>
        </w:rPr>
        <w:t>)</w:t>
      </w:r>
    </w:p>
    <w:p w14:paraId="02093D24" w14:textId="4815AE7F" w:rsidR="00012042" w:rsidRPr="00D42571" w:rsidRDefault="003D5651"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N</w:t>
      </w:r>
      <w:r w:rsidR="00F05130" w:rsidRPr="00D42571">
        <w:rPr>
          <w:rFonts w:ascii="Verdana" w:hAnsi="Verdana" w:cs="Arial"/>
          <w:sz w:val="20"/>
          <w:szCs w:val="20"/>
        </w:rPr>
        <w:t>on-disponibilité des traitements pour se sortir de l’addiction (dispo</w:t>
      </w:r>
      <w:r w:rsidR="00366F0A" w:rsidRPr="00D42571">
        <w:rPr>
          <w:rFonts w:ascii="Verdana" w:hAnsi="Verdana" w:cs="Arial"/>
          <w:sz w:val="20"/>
          <w:szCs w:val="20"/>
        </w:rPr>
        <w:t>nible</w:t>
      </w:r>
      <w:r w:rsidRPr="00D42571">
        <w:rPr>
          <w:rFonts w:ascii="Verdana" w:hAnsi="Verdana" w:cs="Arial"/>
          <w:sz w:val="20"/>
          <w:szCs w:val="20"/>
        </w:rPr>
        <w:t xml:space="preserve"> uniquement à </w:t>
      </w:r>
      <w:proofErr w:type="spellStart"/>
      <w:r w:rsidRPr="00D42571">
        <w:rPr>
          <w:rFonts w:ascii="Verdana" w:hAnsi="Verdana" w:cs="Arial"/>
          <w:sz w:val="20"/>
          <w:szCs w:val="20"/>
        </w:rPr>
        <w:t>ge</w:t>
      </w:r>
      <w:proofErr w:type="spellEnd"/>
      <w:r w:rsidRPr="00D42571">
        <w:rPr>
          <w:rFonts w:ascii="Verdana" w:hAnsi="Verdana" w:cs="Arial"/>
          <w:sz w:val="20"/>
          <w:szCs w:val="20"/>
        </w:rPr>
        <w:t xml:space="preserve"> et </w:t>
      </w:r>
      <w:proofErr w:type="spellStart"/>
      <w:r w:rsidRPr="00D42571">
        <w:rPr>
          <w:rFonts w:ascii="Verdana" w:hAnsi="Verdana" w:cs="Arial"/>
          <w:sz w:val="20"/>
          <w:szCs w:val="20"/>
        </w:rPr>
        <w:t>vd</w:t>
      </w:r>
      <w:proofErr w:type="spellEnd"/>
      <w:r w:rsidRPr="00D42571">
        <w:rPr>
          <w:rFonts w:ascii="Verdana" w:hAnsi="Verdana" w:cs="Arial"/>
          <w:sz w:val="20"/>
          <w:szCs w:val="20"/>
        </w:rPr>
        <w:t xml:space="preserve"> en </w:t>
      </w:r>
      <w:proofErr w:type="spellStart"/>
      <w:r w:rsidRPr="00D42571">
        <w:rPr>
          <w:rFonts w:ascii="Verdana" w:hAnsi="Verdana" w:cs="Arial"/>
          <w:sz w:val="20"/>
          <w:szCs w:val="20"/>
        </w:rPr>
        <w:t>romandie</w:t>
      </w:r>
      <w:proofErr w:type="spellEnd"/>
      <w:r w:rsidR="00012042" w:rsidRPr="00D42571">
        <w:rPr>
          <w:rFonts w:ascii="Verdana" w:hAnsi="Verdana" w:cs="Arial"/>
          <w:sz w:val="20"/>
          <w:szCs w:val="20"/>
        </w:rPr>
        <w:t xml:space="preserve">), </w:t>
      </w:r>
    </w:p>
    <w:p w14:paraId="3AB6CAEE" w14:textId="3E6B82BD" w:rsidR="00012042" w:rsidRPr="00D42571" w:rsidRDefault="00012042" w:rsidP="006D54A0">
      <w:pPr>
        <w:spacing w:before="120" w:after="120" w:line="276" w:lineRule="auto"/>
        <w:jc w:val="both"/>
        <w:rPr>
          <w:rFonts w:ascii="Verdana" w:hAnsi="Verdana" w:cs="Arial"/>
          <w:sz w:val="20"/>
          <w:szCs w:val="20"/>
        </w:rPr>
      </w:pPr>
      <w:proofErr w:type="gramStart"/>
      <w:r w:rsidRPr="00D42571">
        <w:rPr>
          <w:rFonts w:ascii="Verdana" w:hAnsi="Verdana" w:cs="Arial"/>
          <w:sz w:val="20"/>
          <w:szCs w:val="20"/>
        </w:rPr>
        <w:t>ce</w:t>
      </w:r>
      <w:proofErr w:type="gramEnd"/>
      <w:r w:rsidRPr="00D42571">
        <w:rPr>
          <w:rFonts w:ascii="Verdana" w:hAnsi="Verdana" w:cs="Arial"/>
          <w:sz w:val="20"/>
          <w:szCs w:val="20"/>
        </w:rPr>
        <w:t xml:space="preserve"> qui questionne sur les droits reconnus (ou non) aux usagers de drogues. </w:t>
      </w:r>
    </w:p>
    <w:p w14:paraId="2F36C304" w14:textId="3636A655"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De nos jours, on constate </w:t>
      </w:r>
      <w:r w:rsidR="00012042" w:rsidRPr="00D42571">
        <w:rPr>
          <w:rFonts w:ascii="Verdana" w:hAnsi="Verdana" w:cs="Arial"/>
          <w:sz w:val="20"/>
          <w:szCs w:val="20"/>
        </w:rPr>
        <w:t xml:space="preserve">que la meilleure solution consiste à se trouve entre prohibition et accès sans restriction, en termes de dommages sanitaires et sociaux </w:t>
      </w:r>
      <w:r w:rsidRPr="00D42571">
        <w:rPr>
          <w:rFonts w:ascii="Verdana" w:hAnsi="Verdana" w:cs="Arial"/>
          <w:sz w:val="20"/>
          <w:szCs w:val="20"/>
        </w:rPr>
        <w:t>(Stratégie Addiction 2017-2024)</w:t>
      </w:r>
      <w:r w:rsidR="00012042" w:rsidRPr="00D42571">
        <w:rPr>
          <w:rFonts w:ascii="Verdana" w:hAnsi="Verdana" w:cs="Arial"/>
          <w:sz w:val="20"/>
          <w:szCs w:val="20"/>
        </w:rPr>
        <w:t>, avec une approche dite « </w:t>
      </w:r>
      <w:proofErr w:type="spellStart"/>
      <w:r w:rsidR="00012042" w:rsidRPr="00D42571">
        <w:rPr>
          <w:rFonts w:ascii="Verdana" w:hAnsi="Verdana" w:cs="Arial"/>
          <w:sz w:val="20"/>
          <w:szCs w:val="20"/>
        </w:rPr>
        <w:t>bottom</w:t>
      </w:r>
      <w:proofErr w:type="spellEnd"/>
      <w:r w:rsidR="00012042" w:rsidRPr="00D42571">
        <w:rPr>
          <w:rFonts w:ascii="Verdana" w:hAnsi="Verdana" w:cs="Arial"/>
          <w:sz w:val="20"/>
          <w:szCs w:val="20"/>
        </w:rPr>
        <w:t xml:space="preserve"> up » et non plus « top down ». </w:t>
      </w:r>
    </w:p>
    <w:p w14:paraId="7287AA9F" w14:textId="5EA88329" w:rsidR="00012042" w:rsidRPr="00D42571" w:rsidRDefault="00012042"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Il en découle un nouveau consensus, visant la réduction des problèmes avec deux exigences </w:t>
      </w:r>
    </w:p>
    <w:p w14:paraId="01BCAD44" w14:textId="488B9EF8" w:rsidR="00012042" w:rsidRPr="00D42571" w:rsidRDefault="003D5651" w:rsidP="006D54A0">
      <w:pPr>
        <w:pStyle w:val="Paragraphedeliste"/>
        <w:numPr>
          <w:ilvl w:val="0"/>
          <w:numId w:val="4"/>
        </w:numPr>
        <w:spacing w:before="120" w:after="120" w:line="276" w:lineRule="auto"/>
        <w:jc w:val="both"/>
        <w:rPr>
          <w:rFonts w:ascii="Verdana" w:hAnsi="Verdana" w:cs="Arial"/>
          <w:sz w:val="20"/>
          <w:szCs w:val="20"/>
        </w:rPr>
      </w:pPr>
      <w:r w:rsidRPr="00D42571">
        <w:rPr>
          <w:rFonts w:ascii="Verdana" w:hAnsi="Verdana" w:cs="Arial"/>
          <w:sz w:val="20"/>
          <w:szCs w:val="20"/>
        </w:rPr>
        <w:t>Soutenir la santé publique</w:t>
      </w:r>
    </w:p>
    <w:p w14:paraId="12C47BB7" w14:textId="537D4E38" w:rsidR="00012042" w:rsidRPr="00D42571" w:rsidRDefault="003D5651" w:rsidP="006D54A0">
      <w:pPr>
        <w:pStyle w:val="Paragraphedeliste"/>
        <w:numPr>
          <w:ilvl w:val="0"/>
          <w:numId w:val="4"/>
        </w:numPr>
        <w:spacing w:before="120" w:after="120" w:line="276" w:lineRule="auto"/>
        <w:jc w:val="both"/>
        <w:rPr>
          <w:rFonts w:ascii="Verdana" w:hAnsi="Verdana" w:cs="Arial"/>
          <w:sz w:val="20"/>
          <w:szCs w:val="20"/>
        </w:rPr>
      </w:pPr>
      <w:r w:rsidRPr="00D42571">
        <w:rPr>
          <w:rFonts w:ascii="Verdana" w:hAnsi="Verdana" w:cs="Arial"/>
          <w:sz w:val="20"/>
          <w:szCs w:val="20"/>
        </w:rPr>
        <w:t xml:space="preserve">Respecter les droits humains. </w:t>
      </w:r>
    </w:p>
    <w:p w14:paraId="20B8E926" w14:textId="612E4414" w:rsidR="00012042" w:rsidRPr="00D42571" w:rsidRDefault="00012042" w:rsidP="006D54A0">
      <w:pPr>
        <w:spacing w:before="120" w:after="120" w:line="276" w:lineRule="auto"/>
        <w:jc w:val="both"/>
        <w:rPr>
          <w:rFonts w:ascii="Verdana" w:hAnsi="Verdana" w:cs="Arial"/>
          <w:sz w:val="20"/>
          <w:szCs w:val="20"/>
        </w:rPr>
      </w:pPr>
    </w:p>
    <w:p w14:paraId="62E42BA5" w14:textId="77777777"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noProof/>
          <w:sz w:val="20"/>
          <w:szCs w:val="20"/>
          <w:lang w:eastAsia="fr-CH"/>
        </w:rPr>
        <w:drawing>
          <wp:inline distT="0" distB="0" distL="0" distR="0" wp14:anchorId="2381466E" wp14:editId="075FE421">
            <wp:extent cx="5171846" cy="3850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99206" cy="3870749"/>
                    </a:xfrm>
                    <a:prstGeom prst="rect">
                      <a:avLst/>
                    </a:prstGeom>
                  </pic:spPr>
                </pic:pic>
              </a:graphicData>
            </a:graphic>
          </wp:inline>
        </w:drawing>
      </w:r>
    </w:p>
    <w:p w14:paraId="666B45CF" w14:textId="2BF81F17" w:rsidR="00F05130" w:rsidRPr="00D42571" w:rsidRDefault="00012042" w:rsidP="006D54A0">
      <w:pPr>
        <w:spacing w:before="120" w:after="120" w:line="276" w:lineRule="auto"/>
        <w:jc w:val="both"/>
        <w:rPr>
          <w:rFonts w:ascii="Verdana" w:hAnsi="Verdana" w:cs="Arial"/>
          <w:sz w:val="20"/>
          <w:szCs w:val="20"/>
        </w:rPr>
      </w:pPr>
      <w:r w:rsidRPr="00D42571">
        <w:rPr>
          <w:rFonts w:ascii="Verdana" w:hAnsi="Verdana" w:cs="Arial"/>
          <w:sz w:val="20"/>
          <w:szCs w:val="20"/>
        </w:rPr>
        <w:t>Cette approche es</w:t>
      </w:r>
      <w:r w:rsidR="00274AF5">
        <w:rPr>
          <w:rFonts w:ascii="Verdana" w:hAnsi="Verdana" w:cs="Arial"/>
          <w:sz w:val="20"/>
          <w:szCs w:val="20"/>
        </w:rPr>
        <w:t xml:space="preserve">t </w:t>
      </w:r>
      <w:r w:rsidRPr="00D42571">
        <w:rPr>
          <w:rFonts w:ascii="Verdana" w:hAnsi="Verdana" w:cs="Arial"/>
          <w:sz w:val="20"/>
          <w:szCs w:val="20"/>
        </w:rPr>
        <w:t>la</w:t>
      </w:r>
      <w:r w:rsidR="00F05130" w:rsidRPr="00D42571">
        <w:rPr>
          <w:rFonts w:ascii="Verdana" w:hAnsi="Verdana" w:cs="Arial"/>
          <w:sz w:val="20"/>
          <w:szCs w:val="20"/>
        </w:rPr>
        <w:t xml:space="preserve"> plus efficace car </w:t>
      </w:r>
      <w:r w:rsidRPr="00D42571">
        <w:rPr>
          <w:rFonts w:ascii="Verdana" w:hAnsi="Verdana" w:cs="Arial"/>
          <w:sz w:val="20"/>
          <w:szCs w:val="20"/>
        </w:rPr>
        <w:t xml:space="preserve">elle </w:t>
      </w:r>
      <w:r w:rsidR="00F05130" w:rsidRPr="00D42571">
        <w:rPr>
          <w:rFonts w:ascii="Verdana" w:hAnsi="Verdana" w:cs="Arial"/>
          <w:sz w:val="20"/>
          <w:szCs w:val="20"/>
        </w:rPr>
        <w:t>réduit les risques, informe, sécurise l’environnement et respecte les droits humains.</w:t>
      </w:r>
    </w:p>
    <w:p w14:paraId="4B6AE36A" w14:textId="77777777" w:rsidR="00D42571" w:rsidRDefault="00D42571" w:rsidP="006D54A0">
      <w:pPr>
        <w:spacing w:before="120" w:after="120" w:line="276" w:lineRule="auto"/>
        <w:jc w:val="both"/>
        <w:rPr>
          <w:rFonts w:ascii="Verdana" w:hAnsi="Verdana" w:cs="Arial"/>
          <w:b/>
          <w:bCs/>
          <w:sz w:val="20"/>
          <w:szCs w:val="20"/>
        </w:rPr>
      </w:pPr>
      <w:r>
        <w:rPr>
          <w:rFonts w:ascii="Verdana" w:hAnsi="Verdana" w:cs="Arial"/>
          <w:b/>
          <w:bCs/>
          <w:sz w:val="20"/>
          <w:szCs w:val="20"/>
        </w:rPr>
        <w:br w:type="page"/>
      </w:r>
    </w:p>
    <w:p w14:paraId="7B45C479" w14:textId="17EF1E52" w:rsidR="002B3683" w:rsidRPr="00D42571" w:rsidRDefault="002B3683" w:rsidP="00997273">
      <w:pPr>
        <w:pStyle w:val="Titre2"/>
      </w:pPr>
      <w:bookmarkStart w:id="16" w:name="_Toc130379198"/>
      <w:r w:rsidRPr="00D42571">
        <w:lastRenderedPageBreak/>
        <w:t>Réduction des problèmes d’alcool : mesures structurelles</w:t>
      </w:r>
      <w:bookmarkEnd w:id="16"/>
      <w:r w:rsidRPr="00D42571">
        <w:t xml:space="preserve"> </w:t>
      </w:r>
    </w:p>
    <w:p w14:paraId="38F0A11A" w14:textId="2A1A6C3C" w:rsidR="002B3683" w:rsidRPr="00D42571" w:rsidRDefault="003D5651" w:rsidP="006D54A0">
      <w:pPr>
        <w:pStyle w:val="Paragraphedeliste"/>
        <w:numPr>
          <w:ilvl w:val="0"/>
          <w:numId w:val="7"/>
        </w:numPr>
        <w:spacing w:before="120" w:after="120" w:line="276" w:lineRule="auto"/>
        <w:jc w:val="both"/>
        <w:rPr>
          <w:rFonts w:ascii="Verdana" w:hAnsi="Verdana" w:cs="Arial"/>
          <w:sz w:val="20"/>
          <w:szCs w:val="20"/>
        </w:rPr>
      </w:pPr>
      <w:r w:rsidRPr="00D42571">
        <w:rPr>
          <w:rFonts w:ascii="Verdana" w:hAnsi="Verdana" w:cs="Arial"/>
          <w:sz w:val="20"/>
          <w:szCs w:val="20"/>
        </w:rPr>
        <w:t xml:space="preserve">Augmenter le prix de l’alcool </w:t>
      </w:r>
    </w:p>
    <w:p w14:paraId="5FCE4F8C" w14:textId="4FA7FD5E" w:rsidR="002B3683" w:rsidRPr="00D42571" w:rsidRDefault="003D5651" w:rsidP="006D54A0">
      <w:pPr>
        <w:pStyle w:val="Paragraphedeliste"/>
        <w:numPr>
          <w:ilvl w:val="0"/>
          <w:numId w:val="7"/>
        </w:numPr>
        <w:spacing w:before="120" w:after="120" w:line="276" w:lineRule="auto"/>
        <w:jc w:val="both"/>
        <w:rPr>
          <w:rFonts w:ascii="Verdana" w:hAnsi="Verdana" w:cs="Arial"/>
          <w:sz w:val="20"/>
          <w:szCs w:val="20"/>
        </w:rPr>
      </w:pPr>
      <w:r w:rsidRPr="00D42571">
        <w:rPr>
          <w:rFonts w:ascii="Verdana" w:hAnsi="Verdana" w:cs="Arial"/>
          <w:sz w:val="20"/>
          <w:szCs w:val="20"/>
        </w:rPr>
        <w:t>Réduire la promotion de l’alcool</w:t>
      </w:r>
    </w:p>
    <w:p w14:paraId="787B2E61" w14:textId="478E8ECC" w:rsidR="002B3683" w:rsidRPr="00D42571" w:rsidRDefault="003D5651" w:rsidP="006D54A0">
      <w:pPr>
        <w:pStyle w:val="Paragraphedeliste"/>
        <w:numPr>
          <w:ilvl w:val="0"/>
          <w:numId w:val="7"/>
        </w:numPr>
        <w:spacing w:before="120" w:after="120" w:line="276" w:lineRule="auto"/>
        <w:jc w:val="both"/>
        <w:rPr>
          <w:rFonts w:ascii="Verdana" w:hAnsi="Verdana" w:cs="Arial"/>
          <w:sz w:val="20"/>
          <w:szCs w:val="20"/>
        </w:rPr>
      </w:pPr>
      <w:r w:rsidRPr="00D42571">
        <w:rPr>
          <w:rFonts w:ascii="Verdana" w:hAnsi="Verdana" w:cs="Arial"/>
          <w:sz w:val="20"/>
          <w:szCs w:val="20"/>
        </w:rPr>
        <w:t>Contrôle d’accès (respect de la limite d’âge)</w:t>
      </w:r>
    </w:p>
    <w:p w14:paraId="631590D6" w14:textId="4BB397EA" w:rsidR="002B3683" w:rsidRPr="00D42571" w:rsidRDefault="003D5651" w:rsidP="006D54A0">
      <w:pPr>
        <w:pStyle w:val="Paragraphedeliste"/>
        <w:numPr>
          <w:ilvl w:val="0"/>
          <w:numId w:val="7"/>
        </w:numPr>
        <w:spacing w:before="120" w:after="120" w:line="276" w:lineRule="auto"/>
        <w:jc w:val="both"/>
        <w:rPr>
          <w:rFonts w:ascii="Verdana" w:hAnsi="Verdana" w:cs="Arial"/>
          <w:sz w:val="20"/>
          <w:szCs w:val="20"/>
        </w:rPr>
      </w:pPr>
      <w:r w:rsidRPr="00D42571">
        <w:rPr>
          <w:rFonts w:ascii="Verdana" w:hAnsi="Verdana" w:cs="Arial"/>
          <w:sz w:val="20"/>
          <w:szCs w:val="20"/>
        </w:rPr>
        <w:t>Restriction d’accès (heures, lieux)</w:t>
      </w:r>
    </w:p>
    <w:p w14:paraId="7C90F507" w14:textId="068DAC6E" w:rsidR="002B3683" w:rsidRPr="00D42571" w:rsidRDefault="002B3683" w:rsidP="006D54A0">
      <w:pPr>
        <w:spacing w:before="120" w:after="120" w:line="276" w:lineRule="auto"/>
        <w:jc w:val="both"/>
        <w:rPr>
          <w:rFonts w:ascii="Verdana" w:hAnsi="Verdana" w:cs="Arial"/>
          <w:sz w:val="20"/>
          <w:szCs w:val="20"/>
          <w:lang w:val="en-US"/>
        </w:rPr>
      </w:pPr>
      <w:r w:rsidRPr="00D42571">
        <w:rPr>
          <w:rFonts w:ascii="Verdana" w:hAnsi="Verdana" w:cs="Arial"/>
          <w:sz w:val="20"/>
          <w:szCs w:val="20"/>
          <w:lang w:val="en-US"/>
        </w:rPr>
        <w:t>« </w:t>
      </w:r>
      <w:proofErr w:type="gramStart"/>
      <w:r w:rsidRPr="00D42571">
        <w:rPr>
          <w:rFonts w:ascii="Verdana" w:hAnsi="Verdana" w:cs="Arial"/>
          <w:sz w:val="20"/>
          <w:szCs w:val="20"/>
          <w:lang w:val="en-US"/>
        </w:rPr>
        <w:t>On the whole</w:t>
      </w:r>
      <w:proofErr w:type="gramEnd"/>
      <w:r w:rsidRPr="00D42571">
        <w:rPr>
          <w:rFonts w:ascii="Verdana" w:hAnsi="Verdana" w:cs="Arial"/>
          <w:sz w:val="20"/>
          <w:szCs w:val="20"/>
          <w:lang w:val="en-US"/>
        </w:rPr>
        <w:t xml:space="preserve">, unplanned factors have higher correlations with alcohol consumption than policy measures”. </w:t>
      </w:r>
    </w:p>
    <w:p w14:paraId="3C62137B" w14:textId="25A184D4" w:rsidR="00F05130" w:rsidRPr="00D42571" w:rsidRDefault="00F05130" w:rsidP="00997273">
      <w:pPr>
        <w:pStyle w:val="Titre2"/>
      </w:pPr>
      <w:bookmarkStart w:id="17" w:name="_Toc130379199"/>
      <w:r w:rsidRPr="00D42571">
        <w:t>Vers une normalisation des drogues</w:t>
      </w:r>
      <w:bookmarkEnd w:id="17"/>
    </w:p>
    <w:p w14:paraId="19922423" w14:textId="4C148755" w:rsidR="00F05130" w:rsidRPr="00D42571" w:rsidRDefault="00F05130" w:rsidP="006D54A0">
      <w:pPr>
        <w:spacing w:before="120" w:after="120" w:line="276" w:lineRule="auto"/>
        <w:jc w:val="both"/>
        <w:rPr>
          <w:rFonts w:ascii="Verdana" w:hAnsi="Verdana" w:cs="Arial"/>
          <w:sz w:val="20"/>
          <w:szCs w:val="20"/>
        </w:rPr>
      </w:pPr>
      <w:r w:rsidRPr="00D42571">
        <w:rPr>
          <w:rFonts w:ascii="Verdana" w:hAnsi="Verdana" w:cs="Arial"/>
          <w:sz w:val="20"/>
          <w:szCs w:val="20"/>
        </w:rPr>
        <w:t>On est passé de</w:t>
      </w:r>
    </w:p>
    <w:p w14:paraId="6FDCEBB4" w14:textId="077859A8"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 xml:space="preserve">LA drogue </w:t>
      </w:r>
      <w:r w:rsidRPr="00D42571">
        <w:rPr>
          <w:rFonts w:ascii="Verdana" w:hAnsi="Verdana" w:cs="Arial"/>
          <w:sz w:val="20"/>
          <w:szCs w:val="20"/>
        </w:rPr>
        <w:sym w:font="Wingdings" w:char="F0E0"/>
      </w:r>
      <w:r w:rsidRPr="00D42571">
        <w:rPr>
          <w:rFonts w:ascii="Verdana" w:hAnsi="Verdana" w:cs="Arial"/>
          <w:sz w:val="20"/>
          <w:szCs w:val="20"/>
        </w:rPr>
        <w:t xml:space="preserve"> fléau dans les années 1975, </w:t>
      </w:r>
      <w:r w:rsidR="00260332" w:rsidRPr="00D42571">
        <w:rPr>
          <w:rFonts w:ascii="Verdana" w:hAnsi="Verdana" w:cs="Arial"/>
          <w:sz w:val="20"/>
          <w:szCs w:val="20"/>
        </w:rPr>
        <w:t>prohibition (</w:t>
      </w:r>
      <w:proofErr w:type="spellStart"/>
      <w:r w:rsidR="00260332" w:rsidRPr="00D42571">
        <w:rPr>
          <w:rFonts w:ascii="Verdana" w:hAnsi="Verdana" w:cs="Arial"/>
          <w:sz w:val="20"/>
          <w:szCs w:val="20"/>
        </w:rPr>
        <w:t>LStup</w:t>
      </w:r>
      <w:proofErr w:type="spellEnd"/>
      <w:r w:rsidR="00260332" w:rsidRPr="00D42571">
        <w:rPr>
          <w:rFonts w:ascii="Verdana" w:hAnsi="Verdana" w:cs="Arial"/>
          <w:sz w:val="20"/>
          <w:szCs w:val="20"/>
        </w:rPr>
        <w:t xml:space="preserve"> 1975)</w:t>
      </w:r>
      <w:r w:rsidR="002B3683" w:rsidRPr="00D42571">
        <w:rPr>
          <w:rFonts w:ascii="Verdana" w:hAnsi="Verdana" w:cs="Arial"/>
          <w:sz w:val="20"/>
          <w:szCs w:val="20"/>
        </w:rPr>
        <w:t xml:space="preserve"> à</w:t>
      </w:r>
    </w:p>
    <w:p w14:paraId="260C2503" w14:textId="4B12887A" w:rsidR="00F05130"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 xml:space="preserve">Drogues (s) </w:t>
      </w:r>
      <w:r w:rsidRPr="00D42571">
        <w:rPr>
          <w:rFonts w:ascii="Verdana" w:hAnsi="Verdana" w:cs="Arial"/>
          <w:sz w:val="20"/>
          <w:szCs w:val="20"/>
        </w:rPr>
        <w:sym w:font="Wingdings" w:char="F0E0"/>
      </w:r>
      <w:r w:rsidRPr="00D42571">
        <w:rPr>
          <w:rFonts w:ascii="Verdana" w:hAnsi="Verdana" w:cs="Arial"/>
          <w:sz w:val="20"/>
          <w:szCs w:val="20"/>
        </w:rPr>
        <w:t xml:space="preserve"> vision sanitaire (politique des 4 piliers 1991)</w:t>
      </w:r>
      <w:r w:rsidR="002B3683" w:rsidRPr="00D42571">
        <w:rPr>
          <w:rFonts w:ascii="Verdana" w:hAnsi="Verdana" w:cs="Arial"/>
          <w:sz w:val="20"/>
          <w:szCs w:val="20"/>
        </w:rPr>
        <w:t xml:space="preserve">, </w:t>
      </w:r>
      <w:r w:rsidRPr="00D42571">
        <w:rPr>
          <w:rFonts w:ascii="Verdana" w:hAnsi="Verdana" w:cs="Arial"/>
          <w:sz w:val="20"/>
          <w:szCs w:val="20"/>
        </w:rPr>
        <w:t xml:space="preserve">pour aller vers </w:t>
      </w:r>
    </w:p>
    <w:p w14:paraId="3D2C3634" w14:textId="77777777" w:rsidR="002B3683" w:rsidRPr="00D42571" w:rsidRDefault="00F05130"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Drogues</w:t>
      </w:r>
      <w:r w:rsidR="00260332" w:rsidRPr="00D42571">
        <w:rPr>
          <w:rFonts w:ascii="Verdana" w:hAnsi="Verdana" w:cs="Arial"/>
          <w:sz w:val="20"/>
          <w:szCs w:val="20"/>
        </w:rPr>
        <w:t xml:space="preserve"> (toutes)</w:t>
      </w:r>
      <w:r w:rsidRPr="00D42571">
        <w:rPr>
          <w:rFonts w:ascii="Verdana" w:hAnsi="Verdana" w:cs="Arial"/>
          <w:sz w:val="20"/>
          <w:szCs w:val="20"/>
        </w:rPr>
        <w:t xml:space="preserve"> </w:t>
      </w:r>
      <w:r w:rsidRPr="00D42571">
        <w:rPr>
          <w:rFonts w:ascii="Verdana" w:hAnsi="Verdana" w:cs="Arial"/>
          <w:sz w:val="20"/>
          <w:szCs w:val="20"/>
        </w:rPr>
        <w:sym w:font="Wingdings" w:char="F0E0"/>
      </w:r>
      <w:r w:rsidRPr="00D42571">
        <w:rPr>
          <w:rFonts w:ascii="Verdana" w:hAnsi="Verdana" w:cs="Arial"/>
          <w:sz w:val="20"/>
          <w:szCs w:val="20"/>
        </w:rPr>
        <w:t xml:space="preserve"> un phénomène social (vision libérale) avec la stratégie Addictions 2017-2024</w:t>
      </w:r>
    </w:p>
    <w:p w14:paraId="4DEAB322" w14:textId="177CCAAC" w:rsidR="00B36416" w:rsidRPr="00D42571" w:rsidRDefault="00B36416" w:rsidP="00997273">
      <w:pPr>
        <w:pStyle w:val="Titre2"/>
      </w:pPr>
      <w:bookmarkStart w:id="18" w:name="_Toc130379200"/>
      <w:r w:rsidRPr="00D42571">
        <w:t>Du paternalisme aux droits humains</w:t>
      </w:r>
      <w:bookmarkEnd w:id="18"/>
    </w:p>
    <w:p w14:paraId="2977E0AF" w14:textId="6BAE1F78" w:rsidR="00B36416" w:rsidRPr="00D42571" w:rsidRDefault="00B36416" w:rsidP="006D54A0">
      <w:pPr>
        <w:spacing w:before="120" w:after="120" w:line="276" w:lineRule="auto"/>
        <w:jc w:val="both"/>
        <w:rPr>
          <w:rFonts w:ascii="Verdana" w:hAnsi="Verdana" w:cs="Arial"/>
          <w:sz w:val="20"/>
          <w:szCs w:val="20"/>
        </w:rPr>
      </w:pPr>
      <w:r w:rsidRPr="00D42571">
        <w:rPr>
          <w:rFonts w:ascii="Verdana" w:hAnsi="Verdana" w:cs="Arial"/>
          <w:sz w:val="20"/>
          <w:szCs w:val="20"/>
        </w:rPr>
        <w:t>1970 : « paternalisme » et prohibition</w:t>
      </w:r>
    </w:p>
    <w:p w14:paraId="11FA2CD1" w14:textId="557AF11C" w:rsidR="00B36416" w:rsidRPr="00D42571" w:rsidRDefault="00B36416" w:rsidP="006D54A0">
      <w:pPr>
        <w:spacing w:before="120" w:after="120" w:line="276" w:lineRule="auto"/>
        <w:jc w:val="both"/>
        <w:rPr>
          <w:rFonts w:ascii="Verdana" w:hAnsi="Verdana" w:cs="Arial"/>
          <w:sz w:val="20"/>
          <w:szCs w:val="20"/>
        </w:rPr>
      </w:pPr>
      <w:r w:rsidRPr="00D42571">
        <w:rPr>
          <w:rFonts w:ascii="Verdana" w:hAnsi="Verdana" w:cs="Arial"/>
          <w:sz w:val="20"/>
          <w:szCs w:val="20"/>
        </w:rPr>
        <w:t>2000 : médicalisation et pragmatisme, politiques des 4 piliers</w:t>
      </w:r>
    </w:p>
    <w:p w14:paraId="5A7ADFF2" w14:textId="067A2261" w:rsidR="00B36416" w:rsidRPr="00D42571" w:rsidRDefault="00B3641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2018 : </w:t>
      </w:r>
      <w:proofErr w:type="spellStart"/>
      <w:r w:rsidRPr="00D42571">
        <w:rPr>
          <w:rFonts w:ascii="Verdana" w:hAnsi="Verdana" w:cs="Arial"/>
          <w:sz w:val="20"/>
          <w:szCs w:val="20"/>
        </w:rPr>
        <w:t>empowerment</w:t>
      </w:r>
      <w:proofErr w:type="spellEnd"/>
      <w:r w:rsidRPr="00D42571">
        <w:rPr>
          <w:rFonts w:ascii="Verdana" w:hAnsi="Verdana" w:cs="Arial"/>
          <w:sz w:val="20"/>
          <w:szCs w:val="20"/>
        </w:rPr>
        <w:t xml:space="preserve"> et libéralisme, stratégie addictions </w:t>
      </w:r>
    </w:p>
    <w:p w14:paraId="6831E05F" w14:textId="6537D9DB" w:rsidR="00B36416" w:rsidRPr="00D42571" w:rsidRDefault="00B36416"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Sachant que l’usager de substance est un citoyen, il en découle la nécessité de </w:t>
      </w:r>
    </w:p>
    <w:p w14:paraId="6D495368" w14:textId="069CD522" w:rsidR="00B36416" w:rsidRPr="00D42571" w:rsidRDefault="00997273"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b/>
          <w:bCs/>
          <w:sz w:val="20"/>
          <w:szCs w:val="20"/>
        </w:rPr>
        <w:t xml:space="preserve">Inclure les personnes concernées </w:t>
      </w:r>
      <w:r w:rsidR="00B36416" w:rsidRPr="00D42571">
        <w:rPr>
          <w:rFonts w:ascii="Verdana" w:hAnsi="Verdana" w:cs="Arial"/>
          <w:sz w:val="20"/>
          <w:szCs w:val="20"/>
        </w:rPr>
        <w:t>(prendre en compte leurs besoins)</w:t>
      </w:r>
    </w:p>
    <w:p w14:paraId="12425787" w14:textId="7CB8F533" w:rsidR="00B36416" w:rsidRPr="00D42571" w:rsidRDefault="00997273"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Prendre</w:t>
      </w:r>
      <w:r w:rsidR="00B36416" w:rsidRPr="00D42571">
        <w:rPr>
          <w:rFonts w:ascii="Verdana" w:hAnsi="Verdana" w:cs="Arial"/>
          <w:sz w:val="20"/>
          <w:szCs w:val="20"/>
        </w:rPr>
        <w:t xml:space="preserve"> en compte</w:t>
      </w:r>
      <w:r w:rsidR="00B36416" w:rsidRPr="00D42571">
        <w:rPr>
          <w:rFonts w:ascii="Verdana" w:hAnsi="Verdana" w:cs="Arial"/>
          <w:b/>
          <w:bCs/>
          <w:sz w:val="20"/>
          <w:szCs w:val="20"/>
        </w:rPr>
        <w:t xml:space="preserve"> les inégalités</w:t>
      </w:r>
      <w:r w:rsidR="00B36416" w:rsidRPr="00D42571">
        <w:rPr>
          <w:rFonts w:ascii="Verdana" w:hAnsi="Verdana" w:cs="Arial"/>
          <w:sz w:val="20"/>
          <w:szCs w:val="20"/>
        </w:rPr>
        <w:t xml:space="preserve"> en matière de santé (protéger les plus vulnérables) </w:t>
      </w:r>
    </w:p>
    <w:p w14:paraId="024A8BBA" w14:textId="44342A0C" w:rsidR="00B36416" w:rsidRPr="00D42571" w:rsidRDefault="00997273" w:rsidP="006D54A0">
      <w:pPr>
        <w:pStyle w:val="Paragraphedeliste"/>
        <w:numPr>
          <w:ilvl w:val="0"/>
          <w:numId w:val="2"/>
        </w:numPr>
        <w:spacing w:before="120" w:after="120" w:line="276" w:lineRule="auto"/>
        <w:jc w:val="both"/>
        <w:rPr>
          <w:rFonts w:ascii="Verdana" w:hAnsi="Verdana" w:cs="Arial"/>
          <w:sz w:val="20"/>
          <w:szCs w:val="20"/>
        </w:rPr>
      </w:pPr>
      <w:r w:rsidRPr="00D42571">
        <w:rPr>
          <w:rFonts w:ascii="Verdana" w:hAnsi="Verdana" w:cs="Arial"/>
          <w:sz w:val="20"/>
          <w:szCs w:val="20"/>
        </w:rPr>
        <w:t>Promouvoir un</w:t>
      </w:r>
      <w:r w:rsidR="00B36416" w:rsidRPr="00D42571">
        <w:rPr>
          <w:rFonts w:ascii="Verdana" w:hAnsi="Verdana" w:cs="Arial"/>
          <w:b/>
          <w:bCs/>
          <w:sz w:val="20"/>
          <w:szCs w:val="20"/>
        </w:rPr>
        <w:t xml:space="preserve"> cadre favorable et non stigmatisant </w:t>
      </w:r>
      <w:r w:rsidR="00B36416" w:rsidRPr="00D42571">
        <w:rPr>
          <w:rFonts w:ascii="Verdana" w:hAnsi="Verdana" w:cs="Arial"/>
          <w:sz w:val="20"/>
          <w:szCs w:val="20"/>
        </w:rPr>
        <w:t xml:space="preserve">(renforcer les compétences individuelles, sociales, culturelles, environnementales), </w:t>
      </w:r>
    </w:p>
    <w:p w14:paraId="1865F299" w14:textId="19097500" w:rsidR="00874B39" w:rsidRPr="00D42571" w:rsidRDefault="00874B39" w:rsidP="00997273">
      <w:pPr>
        <w:pStyle w:val="Titre2"/>
      </w:pPr>
      <w:bookmarkStart w:id="19" w:name="_Toc130379201"/>
      <w:r w:rsidRPr="00D42571">
        <w:t>Stratégie nationale Addictions 2017-2024</w:t>
      </w:r>
      <w:r w:rsidR="00B36416" w:rsidRPr="00D42571">
        <w:t> : lignes directrices</w:t>
      </w:r>
      <w:bookmarkEnd w:id="19"/>
    </w:p>
    <w:p w14:paraId="49AFF5BB" w14:textId="54E2279F" w:rsidR="00B36416" w:rsidRPr="00D42571" w:rsidRDefault="00D42571"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 </w:t>
      </w:r>
      <w:r w:rsidR="00874B39" w:rsidRPr="00D42571">
        <w:rPr>
          <w:rFonts w:ascii="Verdana" w:hAnsi="Verdana" w:cs="Arial"/>
          <w:sz w:val="20"/>
          <w:szCs w:val="20"/>
        </w:rPr>
        <w:t xml:space="preserve">« </w:t>
      </w:r>
      <w:r w:rsidR="00874B39" w:rsidRPr="00D42571">
        <w:rPr>
          <w:rFonts w:ascii="Verdana" w:hAnsi="Verdana" w:cs="Arial"/>
          <w:i/>
          <w:iCs/>
          <w:sz w:val="20"/>
          <w:szCs w:val="20"/>
        </w:rPr>
        <w:t>Elle part du principe que l’individu est responsable de ses choix de vie et de son comportement individuel, y compris en matière de santé</w:t>
      </w:r>
      <w:r w:rsidR="00B36416" w:rsidRPr="00D42571">
        <w:rPr>
          <w:rFonts w:ascii="Verdana" w:hAnsi="Verdana" w:cs="Arial"/>
          <w:sz w:val="20"/>
          <w:szCs w:val="20"/>
        </w:rPr>
        <w:t xml:space="preserve"> </w:t>
      </w:r>
      <w:r w:rsidR="00874B39" w:rsidRPr="00D42571">
        <w:rPr>
          <w:rFonts w:ascii="Verdana" w:hAnsi="Verdana" w:cs="Arial"/>
          <w:sz w:val="20"/>
          <w:szCs w:val="20"/>
        </w:rPr>
        <w:t>»</w:t>
      </w:r>
    </w:p>
    <w:p w14:paraId="78552F8C" w14:textId="63898A3F" w:rsidR="00874B39" w:rsidRPr="00D42571" w:rsidRDefault="00D42571" w:rsidP="006D54A0">
      <w:pPr>
        <w:spacing w:before="120" w:after="120" w:line="276" w:lineRule="auto"/>
        <w:jc w:val="both"/>
        <w:rPr>
          <w:rFonts w:ascii="Verdana" w:hAnsi="Verdana" w:cs="Arial"/>
          <w:sz w:val="20"/>
          <w:szCs w:val="20"/>
        </w:rPr>
      </w:pPr>
      <w:r w:rsidRPr="00D42571">
        <w:rPr>
          <w:rFonts w:ascii="Verdana" w:hAnsi="Verdana" w:cs="Arial"/>
          <w:sz w:val="20"/>
          <w:szCs w:val="20"/>
        </w:rPr>
        <w:t xml:space="preserve"> </w:t>
      </w:r>
      <w:r w:rsidR="00874B39" w:rsidRPr="00D42571">
        <w:rPr>
          <w:rFonts w:ascii="Verdana" w:hAnsi="Verdana" w:cs="Arial"/>
          <w:sz w:val="20"/>
          <w:szCs w:val="20"/>
        </w:rPr>
        <w:t xml:space="preserve">« </w:t>
      </w:r>
      <w:r w:rsidR="00874B39" w:rsidRPr="00D42571">
        <w:rPr>
          <w:rFonts w:ascii="Verdana" w:hAnsi="Verdana" w:cs="Arial"/>
          <w:i/>
          <w:iCs/>
          <w:sz w:val="20"/>
          <w:szCs w:val="20"/>
        </w:rPr>
        <w:t>C’est pourquoi le renforcement des ressources et des capacités individuelles en matière de santé revêt une importance stratégique</w:t>
      </w:r>
      <w:r w:rsidR="00874B39" w:rsidRPr="00D42571">
        <w:rPr>
          <w:rFonts w:ascii="Verdana" w:hAnsi="Verdana" w:cs="Arial"/>
          <w:sz w:val="20"/>
          <w:szCs w:val="20"/>
        </w:rPr>
        <w:t>. »</w:t>
      </w:r>
    </w:p>
    <w:p w14:paraId="168C6979" w14:textId="77777777" w:rsidR="00274AF5" w:rsidRDefault="00274AF5" w:rsidP="006D54A0">
      <w:pPr>
        <w:spacing w:before="120" w:after="120"/>
        <w:jc w:val="both"/>
        <w:rPr>
          <w:rFonts w:ascii="Verdana" w:hAnsi="Verdana" w:cs="Arial"/>
          <w:b/>
          <w:bCs/>
          <w:sz w:val="20"/>
          <w:szCs w:val="20"/>
        </w:rPr>
      </w:pPr>
      <w:r>
        <w:rPr>
          <w:rFonts w:ascii="Verdana" w:hAnsi="Verdana" w:cs="Arial"/>
          <w:b/>
          <w:bCs/>
          <w:sz w:val="20"/>
          <w:szCs w:val="20"/>
        </w:rPr>
        <w:br w:type="page"/>
      </w:r>
    </w:p>
    <w:p w14:paraId="713DBAE5" w14:textId="17E3BB12" w:rsidR="00B36416" w:rsidRPr="00D42571" w:rsidRDefault="00B36416" w:rsidP="00997273">
      <w:pPr>
        <w:pStyle w:val="Titre2"/>
      </w:pPr>
      <w:bookmarkStart w:id="20" w:name="_Toc130379202"/>
      <w:r w:rsidRPr="00D42571">
        <w:lastRenderedPageBreak/>
        <w:t>Déclaration d’Ascona (2016)</w:t>
      </w:r>
      <w:bookmarkEnd w:id="20"/>
      <w:r w:rsidRPr="00D42571">
        <w:t xml:space="preserve"> </w:t>
      </w:r>
    </w:p>
    <w:p w14:paraId="43E456C5"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Une politique moderne des addictions doit se baser sur la réalité et pas sur une vision idéalisée des comportements humains.</w:t>
      </w:r>
    </w:p>
    <w:p w14:paraId="3B924E6A"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Dans une politique moderne des addictions, les adultes ont la liberté de consommer, mais doivent aussi être soutenus si nécessaire, car ils n’ont pas tous les mêmes compétences en matière de consommation.</w:t>
      </w:r>
    </w:p>
    <w:p w14:paraId="719C7FC3"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Une politique moderne des addictions inclut toutes les formes de consommation. Elle vise à en réduire les dommages et les formes les plus problématiques, tout en respectant la liberté individuelle et la protection des tiers.</w:t>
      </w:r>
    </w:p>
    <w:p w14:paraId="21EF3ED7" w14:textId="551CC600"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Une nouvelle terminologie doit être élaborée pour une politique moderne des «addictions» qui puisse refléter les changements induits par une telle approche et qui puisse intégrer toutes les formes de consommations.</w:t>
      </w:r>
    </w:p>
    <w:p w14:paraId="7D9DB265" w14:textId="42BC83E5"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Les usagers et usagères ont une place centrale dans le développement de la politique moderne des addictions.</w:t>
      </w:r>
    </w:p>
    <w:p w14:paraId="5819BF75"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 xml:space="preserve">La société civile, l’opinion publique et une large alliance de toutes les parties prenantes sont intégrées dans la conception d’une politique moderne des addictions. </w:t>
      </w:r>
    </w:p>
    <w:p w14:paraId="0DB5B8C9"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Selon les circonstances, les villes et les cantons doivent prendre le leadership pour le développement d’une politique moderne des addictions. Leur objectif est le management du vivre ensemble soit la qualité de vie et le respect des différences.</w:t>
      </w:r>
    </w:p>
    <w:p w14:paraId="522B2204"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Les intérêts entre l’économie et le socio-sanitaire sont différents, mais une collaboration est possible, voire nécessaire. Cette collaboration a un plus grand potentiel avec des petites industries responsables et ancrées dans la communauté.</w:t>
      </w:r>
    </w:p>
    <w:p w14:paraId="54E16D57" w14:textId="77777777"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 xml:space="preserve">Une règlementation de tous les marchés permettra aux consommateurs de participer aux coûts globaux via une taxe sur le prix d’achat. </w:t>
      </w:r>
    </w:p>
    <w:p w14:paraId="3510DAE5" w14:textId="2B5E8BE5" w:rsidR="00B36416" w:rsidRPr="00D42571" w:rsidRDefault="00B36416" w:rsidP="006D54A0">
      <w:pPr>
        <w:pStyle w:val="Paragraphedeliste"/>
        <w:numPr>
          <w:ilvl w:val="0"/>
          <w:numId w:val="8"/>
        </w:numPr>
        <w:spacing w:before="120" w:after="120" w:line="276" w:lineRule="auto"/>
        <w:jc w:val="both"/>
        <w:rPr>
          <w:rFonts w:ascii="Verdana" w:eastAsia="Times New Roman" w:hAnsi="Verdana" w:cs="Arial"/>
          <w:sz w:val="20"/>
          <w:szCs w:val="20"/>
          <w:lang w:eastAsia="fr-FR"/>
        </w:rPr>
      </w:pPr>
      <w:r w:rsidRPr="00D42571">
        <w:rPr>
          <w:rFonts w:ascii="Verdana" w:eastAsia="Times New Roman" w:hAnsi="Verdana" w:cs="Arial"/>
          <w:sz w:val="20"/>
          <w:szCs w:val="20"/>
          <w:lang w:eastAsia="fr-FR"/>
        </w:rPr>
        <w:t>Un espace d’innovation est nécessaire, au-delà des cadres juridiques établis, pour développer de nouvelles offres et pour aller progressivement vers une règlementation cohérente de toutes les substances et marchés.</w:t>
      </w:r>
    </w:p>
    <w:sectPr w:rsidR="00B36416" w:rsidRPr="00D42571" w:rsidSect="00FF3D5F">
      <w:headerReference w:type="even" r:id="rId21"/>
      <w:headerReference w:type="default" r:id="rId22"/>
      <w:footerReference w:type="even" r:id="rId23"/>
      <w:footerReference w:type="default" r:id="rId24"/>
      <w:headerReference w:type="first" r:id="rId25"/>
      <w:footerReference w:type="first" r:id="rId2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2D35" w14:textId="77777777" w:rsidR="00BB476B" w:rsidRDefault="00BB476B" w:rsidP="00683F8E">
      <w:pPr>
        <w:spacing w:after="0" w:line="240" w:lineRule="auto"/>
      </w:pPr>
      <w:r>
        <w:separator/>
      </w:r>
    </w:p>
  </w:endnote>
  <w:endnote w:type="continuationSeparator" w:id="0">
    <w:p w14:paraId="2BF03295" w14:textId="77777777" w:rsidR="00BB476B" w:rsidRDefault="00BB476B" w:rsidP="0068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46C6" w14:textId="77777777" w:rsidR="00960FFC" w:rsidRDefault="00960F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Verdana" w:hAnsi="Verdana"/>
      </w:rPr>
      <w:id w:val="195741864"/>
      <w:docPartObj>
        <w:docPartGallery w:val="Page Numbers (Bottom of Page)"/>
        <w:docPartUnique/>
      </w:docPartObj>
    </w:sdtPr>
    <w:sdtContent>
      <w:sdt>
        <w:sdtPr>
          <w:rPr>
            <w:rFonts w:ascii="Verdana" w:eastAsia="Arial" w:hAnsi="Verdana"/>
            <w:lang w:val="de-DE"/>
          </w:rPr>
          <w:id w:val="-1734072147"/>
          <w:docPartObj>
            <w:docPartGallery w:val="Page Numbers (Bottom of Page)"/>
            <w:docPartUnique/>
          </w:docPartObj>
        </w:sdtPr>
        <w:sdtContent>
          <w:sdt>
            <w:sdtPr>
              <w:rPr>
                <w:rFonts w:ascii="Verdana" w:eastAsia="Arial" w:hAnsi="Verdana"/>
                <w:lang w:val="de-DE"/>
              </w:rPr>
              <w:id w:val="-1317716403"/>
              <w:docPartObj>
                <w:docPartGallery w:val="Page Numbers (Top of Page)"/>
                <w:docPartUnique/>
              </w:docPartObj>
            </w:sdtPr>
            <w:sdtContent>
              <w:sdt>
                <w:sdtPr>
                  <w:rPr>
                    <w:rFonts w:ascii="Verdana" w:eastAsia="Arial" w:hAnsi="Verdana"/>
                    <w:lang w:val="de-DE"/>
                  </w:rPr>
                  <w:id w:val="-467972122"/>
                  <w:docPartObj>
                    <w:docPartGallery w:val="Page Numbers (Top of Page)"/>
                    <w:docPartUnique/>
                  </w:docPartObj>
                </w:sdtPr>
                <w:sdtContent>
                  <w:p w14:paraId="584DA77E" w14:textId="12DDD3FC" w:rsidR="00960FFC" w:rsidRPr="00B257A6" w:rsidRDefault="005861F0" w:rsidP="00B257A6">
                    <w:pPr>
                      <w:pBdr>
                        <w:top w:val="single" w:sz="4" w:space="6" w:color="4C204A"/>
                      </w:pBdr>
                      <w:tabs>
                        <w:tab w:val="right" w:pos="9072"/>
                      </w:tabs>
                      <w:jc w:val="right"/>
                      <w:rPr>
                        <w:rFonts w:ascii="Verdana" w:eastAsia="Arial" w:hAnsi="Verdana"/>
                        <w:lang w:val="de-DE"/>
                      </w:rPr>
                    </w:pPr>
                    <w:r w:rsidRPr="00B0585D">
                      <w:rPr>
                        <w:rFonts w:ascii="Verdana" w:eastAsia="Arial" w:hAnsi="Verdana"/>
                      </w:rPr>
                      <w:t xml:space="preserve">Page </w:t>
                    </w:r>
                    <w:r w:rsidRPr="00B0585D">
                      <w:rPr>
                        <w:rFonts w:ascii="Verdana" w:eastAsia="Arial" w:hAnsi="Verdana"/>
                        <w:b/>
                        <w:bCs/>
                        <w:lang w:val="de-DE"/>
                      </w:rPr>
                      <w:fldChar w:fldCharType="begin"/>
                    </w:r>
                    <w:r w:rsidRPr="00B0585D">
                      <w:rPr>
                        <w:rFonts w:ascii="Verdana" w:eastAsia="Arial" w:hAnsi="Verdana"/>
                        <w:b/>
                        <w:bCs/>
                        <w:lang w:val="de-DE"/>
                      </w:rPr>
                      <w:instrText>PAGE</w:instrText>
                    </w:r>
                    <w:r w:rsidRPr="00B0585D">
                      <w:rPr>
                        <w:rFonts w:ascii="Verdana" w:eastAsia="Arial" w:hAnsi="Verdana"/>
                        <w:b/>
                        <w:bCs/>
                        <w:lang w:val="de-DE"/>
                      </w:rPr>
                      <w:fldChar w:fldCharType="separate"/>
                    </w:r>
                    <w:r>
                      <w:rPr>
                        <w:rFonts w:ascii="Verdana" w:eastAsia="Arial" w:hAnsi="Verdana"/>
                        <w:b/>
                        <w:bCs/>
                        <w:lang w:val="de-DE"/>
                      </w:rPr>
                      <w:t>2</w:t>
                    </w:r>
                    <w:r w:rsidRPr="00B0585D">
                      <w:rPr>
                        <w:rFonts w:ascii="Verdana" w:eastAsia="Arial" w:hAnsi="Verdana"/>
                        <w:b/>
                        <w:bCs/>
                        <w:lang w:val="de-DE"/>
                      </w:rPr>
                      <w:fldChar w:fldCharType="end"/>
                    </w:r>
                    <w:r w:rsidRPr="00B0585D">
                      <w:rPr>
                        <w:rFonts w:ascii="Verdana" w:eastAsia="Arial" w:hAnsi="Verdana"/>
                      </w:rPr>
                      <w:t xml:space="preserve"> sur </w:t>
                    </w:r>
                    <w:r w:rsidRPr="00B0585D">
                      <w:rPr>
                        <w:rFonts w:ascii="Verdana" w:eastAsia="Arial" w:hAnsi="Verdana"/>
                        <w:b/>
                        <w:bCs/>
                        <w:lang w:val="de-DE"/>
                      </w:rPr>
                      <w:fldChar w:fldCharType="begin"/>
                    </w:r>
                    <w:r w:rsidRPr="00B0585D">
                      <w:rPr>
                        <w:rFonts w:ascii="Verdana" w:eastAsia="Arial" w:hAnsi="Verdana"/>
                        <w:b/>
                        <w:bCs/>
                        <w:lang w:val="de-DE"/>
                      </w:rPr>
                      <w:instrText>NUMPAGES</w:instrText>
                    </w:r>
                    <w:r w:rsidRPr="00B0585D">
                      <w:rPr>
                        <w:rFonts w:ascii="Verdana" w:eastAsia="Arial" w:hAnsi="Verdana"/>
                        <w:b/>
                        <w:bCs/>
                        <w:lang w:val="de-DE"/>
                      </w:rPr>
                      <w:fldChar w:fldCharType="separate"/>
                    </w:r>
                    <w:r>
                      <w:rPr>
                        <w:rFonts w:ascii="Verdana" w:eastAsia="Arial" w:hAnsi="Verdana"/>
                        <w:b/>
                        <w:bCs/>
                        <w:lang w:val="de-DE"/>
                      </w:rPr>
                      <w:t>6</w:t>
                    </w:r>
                    <w:r w:rsidRPr="00B0585D">
                      <w:rPr>
                        <w:rFonts w:ascii="Verdana" w:eastAsia="Arial" w:hAnsi="Verdana"/>
                        <w:b/>
                        <w:bCs/>
                        <w:lang w:val="de-DE"/>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3F83" w14:textId="77777777" w:rsidR="00960FFC" w:rsidRDefault="00960F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B3FD" w14:textId="77777777" w:rsidR="00BB476B" w:rsidRDefault="00BB476B" w:rsidP="00683F8E">
      <w:pPr>
        <w:spacing w:after="0" w:line="240" w:lineRule="auto"/>
      </w:pPr>
      <w:r>
        <w:separator/>
      </w:r>
    </w:p>
  </w:footnote>
  <w:footnote w:type="continuationSeparator" w:id="0">
    <w:p w14:paraId="21E00F18" w14:textId="77777777" w:rsidR="00BB476B" w:rsidRDefault="00BB476B" w:rsidP="0068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45F7" w14:textId="77777777" w:rsidR="00960FFC" w:rsidRDefault="00960F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051D" w14:textId="539C6057" w:rsidR="00683F8E" w:rsidRPr="00FF3D5F" w:rsidRDefault="00FF3D5F" w:rsidP="00FF3D5F">
    <w:pPr>
      <w:pBdr>
        <w:bottom w:val="single" w:sz="12" w:space="1" w:color="2F5496" w:themeColor="accent1" w:themeShade="BF"/>
      </w:pBdr>
      <w:tabs>
        <w:tab w:val="center" w:pos="4536"/>
      </w:tabs>
      <w:jc w:val="right"/>
      <w:rPr>
        <w:rFonts w:eastAsia="Arial"/>
        <w:b/>
        <w:bCs/>
        <w:color w:val="0070C0"/>
      </w:rPr>
    </w:pPr>
    <w:r w:rsidRPr="001A2D22">
      <w:rPr>
        <w:noProof/>
        <w:lang w:eastAsia="fr-CH"/>
      </w:rPr>
      <w:drawing>
        <wp:anchor distT="0" distB="0" distL="114300" distR="114300" simplePos="0" relativeHeight="251659264" behindDoc="0" locked="0" layoutInCell="1" allowOverlap="1" wp14:anchorId="781E5611" wp14:editId="3ED8C3EF">
          <wp:simplePos x="0" y="0"/>
          <wp:positionH relativeFrom="column">
            <wp:posOffset>0</wp:posOffset>
          </wp:positionH>
          <wp:positionV relativeFrom="paragraph">
            <wp:posOffset>310597</wp:posOffset>
          </wp:positionV>
          <wp:extent cx="6048000" cy="21600"/>
          <wp:effectExtent l="0" t="0" r="0" b="0"/>
          <wp:wrapNone/>
          <wp:docPr id="9" name="Image 9"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D5A2" w14:textId="77777777" w:rsidR="00960FFC" w:rsidRDefault="00960F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53.1pt;height:66.55pt" o:bullet="t">
        <v:imagedata r:id="rId1" o:title="cas"/>
      </v:shape>
    </w:pict>
  </w:numPicBullet>
  <w:abstractNum w:abstractNumId="0" w15:restartNumberingAfterBreak="0">
    <w:nsid w:val="048F178A"/>
    <w:multiLevelType w:val="hybridMultilevel"/>
    <w:tmpl w:val="5B52F3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45392D"/>
    <w:multiLevelType w:val="hybridMultilevel"/>
    <w:tmpl w:val="307A270C"/>
    <w:lvl w:ilvl="0" w:tplc="DD34D6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BE210B"/>
    <w:multiLevelType w:val="hybridMultilevel"/>
    <w:tmpl w:val="42505F8C"/>
    <w:lvl w:ilvl="0" w:tplc="43F8D88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953DF9"/>
    <w:multiLevelType w:val="hybridMultilevel"/>
    <w:tmpl w:val="D2E8B7E0"/>
    <w:lvl w:ilvl="0" w:tplc="257A0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C77771"/>
    <w:multiLevelType w:val="hybridMultilevel"/>
    <w:tmpl w:val="FB5CC1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F9134D"/>
    <w:multiLevelType w:val="hybridMultilevel"/>
    <w:tmpl w:val="A92A2E28"/>
    <w:lvl w:ilvl="0" w:tplc="E576629E">
      <w:start w:val="1"/>
      <w:numFmt w:val="upperRoman"/>
      <w:lvlText w:val="%1."/>
      <w:lvlJc w:val="left"/>
      <w:pPr>
        <w:ind w:left="720" w:hanging="720"/>
      </w:pPr>
      <w:rPr>
        <w:rFonts w:hint="default"/>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3B783CF5"/>
    <w:multiLevelType w:val="hybridMultilevel"/>
    <w:tmpl w:val="FB5CC1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38013F"/>
    <w:multiLevelType w:val="hybridMultilevel"/>
    <w:tmpl w:val="0BF652A6"/>
    <w:lvl w:ilvl="0" w:tplc="E6AAC6AE">
      <w:start w:val="1"/>
      <w:numFmt w:val="bullet"/>
      <w:lvlText w:val=""/>
      <w:lvlPicBulletId w:val="0"/>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52833FD3"/>
    <w:multiLevelType w:val="hybridMultilevel"/>
    <w:tmpl w:val="32C632D2"/>
    <w:lvl w:ilvl="0" w:tplc="17847B1A">
      <w:start w:val="1"/>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697085">
    <w:abstractNumId w:val="5"/>
  </w:num>
  <w:num w:numId="2" w16cid:durableId="1304196396">
    <w:abstractNumId w:val="8"/>
  </w:num>
  <w:num w:numId="3" w16cid:durableId="594940712">
    <w:abstractNumId w:val="2"/>
  </w:num>
  <w:num w:numId="4" w16cid:durableId="1119908670">
    <w:abstractNumId w:val="0"/>
  </w:num>
  <w:num w:numId="5" w16cid:durableId="750350869">
    <w:abstractNumId w:val="4"/>
  </w:num>
  <w:num w:numId="6" w16cid:durableId="1586300991">
    <w:abstractNumId w:val="6"/>
  </w:num>
  <w:num w:numId="7" w16cid:durableId="1134984106">
    <w:abstractNumId w:val="1"/>
  </w:num>
  <w:num w:numId="8" w16cid:durableId="1623538590">
    <w:abstractNumId w:val="3"/>
  </w:num>
  <w:num w:numId="9" w16cid:durableId="82143973">
    <w:abstractNumId w:val="9"/>
  </w:num>
  <w:num w:numId="10" w16cid:durableId="446849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41"/>
    <w:rsid w:val="00012042"/>
    <w:rsid w:val="00023EBF"/>
    <w:rsid w:val="00091611"/>
    <w:rsid w:val="000A51CA"/>
    <w:rsid w:val="000C43C4"/>
    <w:rsid w:val="000E11B6"/>
    <w:rsid w:val="000F05A6"/>
    <w:rsid w:val="001264E2"/>
    <w:rsid w:val="0015783B"/>
    <w:rsid w:val="00211428"/>
    <w:rsid w:val="00260332"/>
    <w:rsid w:val="00274AF5"/>
    <w:rsid w:val="002B3683"/>
    <w:rsid w:val="002E744C"/>
    <w:rsid w:val="00366F0A"/>
    <w:rsid w:val="00395F29"/>
    <w:rsid w:val="003D5651"/>
    <w:rsid w:val="0044247F"/>
    <w:rsid w:val="00544941"/>
    <w:rsid w:val="00577AB9"/>
    <w:rsid w:val="005861F0"/>
    <w:rsid w:val="005A0D20"/>
    <w:rsid w:val="005B4520"/>
    <w:rsid w:val="005C5FC5"/>
    <w:rsid w:val="005D2AD1"/>
    <w:rsid w:val="00654AF2"/>
    <w:rsid w:val="00683F8E"/>
    <w:rsid w:val="006D54A0"/>
    <w:rsid w:val="007117D6"/>
    <w:rsid w:val="00725117"/>
    <w:rsid w:val="00754D56"/>
    <w:rsid w:val="007A6FB9"/>
    <w:rsid w:val="007B593D"/>
    <w:rsid w:val="00836502"/>
    <w:rsid w:val="00874B39"/>
    <w:rsid w:val="008C0EDE"/>
    <w:rsid w:val="00952A5A"/>
    <w:rsid w:val="00960FFC"/>
    <w:rsid w:val="009733E1"/>
    <w:rsid w:val="00995EB7"/>
    <w:rsid w:val="00997273"/>
    <w:rsid w:val="009C46AC"/>
    <w:rsid w:val="009D77BD"/>
    <w:rsid w:val="00A57DA3"/>
    <w:rsid w:val="00AB472C"/>
    <w:rsid w:val="00B257A6"/>
    <w:rsid w:val="00B26214"/>
    <w:rsid w:val="00B36416"/>
    <w:rsid w:val="00BA6428"/>
    <w:rsid w:val="00BB476B"/>
    <w:rsid w:val="00BB5D24"/>
    <w:rsid w:val="00BD17FF"/>
    <w:rsid w:val="00BE6770"/>
    <w:rsid w:val="00CE7BB4"/>
    <w:rsid w:val="00D3611F"/>
    <w:rsid w:val="00D42571"/>
    <w:rsid w:val="00D62FB1"/>
    <w:rsid w:val="00DB3146"/>
    <w:rsid w:val="00E164DB"/>
    <w:rsid w:val="00E71877"/>
    <w:rsid w:val="00F05130"/>
    <w:rsid w:val="00F10D45"/>
    <w:rsid w:val="00F508BA"/>
    <w:rsid w:val="00F94D5C"/>
    <w:rsid w:val="00FB3CCD"/>
    <w:rsid w:val="00FC65DA"/>
    <w:rsid w:val="00FD34F4"/>
    <w:rsid w:val="00FF3D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59184"/>
  <w15:chartTrackingRefBased/>
  <w15:docId w15:val="{4B0369E5-1301-44D9-BE7E-851602B1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4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164DB"/>
    <w:pPr>
      <w:spacing w:before="120" w:after="120" w:line="276" w:lineRule="auto"/>
      <w:jc w:val="both"/>
      <w:outlineLvl w:val="1"/>
    </w:pPr>
    <w:rPr>
      <w:rFonts w:ascii="Verdana" w:hAnsi="Verdana"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Formulare"/>
    <w:basedOn w:val="Normal"/>
    <w:link w:val="ParagraphedelisteCar"/>
    <w:uiPriority w:val="34"/>
    <w:qFormat/>
    <w:rsid w:val="00544941"/>
    <w:pPr>
      <w:ind w:left="720"/>
      <w:contextualSpacing/>
    </w:pPr>
  </w:style>
  <w:style w:type="paragraph" w:styleId="Titre">
    <w:name w:val="Title"/>
    <w:basedOn w:val="Normal"/>
    <w:next w:val="Normal"/>
    <w:link w:val="TitreCar"/>
    <w:uiPriority w:val="10"/>
    <w:qFormat/>
    <w:rsid w:val="005449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4941"/>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4494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Policepardfaut"/>
    <w:rsid w:val="00874B39"/>
    <w:rPr>
      <w:rFonts w:ascii="ArialMT" w:hAnsi="ArialMT" w:hint="default"/>
      <w:b w:val="0"/>
      <w:bCs w:val="0"/>
      <w:i w:val="0"/>
      <w:iCs w:val="0"/>
      <w:color w:val="000000"/>
      <w:sz w:val="48"/>
      <w:szCs w:val="48"/>
    </w:rPr>
  </w:style>
  <w:style w:type="character" w:customStyle="1" w:styleId="fontstyle21">
    <w:name w:val="fontstyle21"/>
    <w:basedOn w:val="Policepardfaut"/>
    <w:rsid w:val="00874B39"/>
    <w:rPr>
      <w:rFonts w:ascii="Arial-ItalicMT" w:hAnsi="Arial-ItalicMT" w:hint="default"/>
      <w:b w:val="0"/>
      <w:bCs w:val="0"/>
      <w:i/>
      <w:iCs/>
      <w:color w:val="000000"/>
      <w:sz w:val="56"/>
      <w:szCs w:val="56"/>
    </w:rPr>
  </w:style>
  <w:style w:type="character" w:customStyle="1" w:styleId="fontstyle31">
    <w:name w:val="fontstyle31"/>
    <w:basedOn w:val="Policepardfaut"/>
    <w:rsid w:val="00874B39"/>
    <w:rPr>
      <w:rFonts w:ascii="Arial-BoldItalicMT" w:hAnsi="Arial-BoldItalicMT" w:hint="default"/>
      <w:b/>
      <w:bCs/>
      <w:i/>
      <w:iCs/>
      <w:color w:val="000000"/>
      <w:sz w:val="56"/>
      <w:szCs w:val="56"/>
    </w:rPr>
  </w:style>
  <w:style w:type="character" w:customStyle="1" w:styleId="fontstyle41">
    <w:name w:val="fontstyle41"/>
    <w:basedOn w:val="Policepardfaut"/>
    <w:rsid w:val="00874B39"/>
    <w:rPr>
      <w:rFonts w:ascii="Verdana" w:hAnsi="Verdana" w:hint="default"/>
      <w:b w:val="0"/>
      <w:bCs w:val="0"/>
      <w:i w:val="0"/>
      <w:iCs w:val="0"/>
      <w:color w:val="000000"/>
      <w:sz w:val="56"/>
      <w:szCs w:val="56"/>
    </w:rPr>
  </w:style>
  <w:style w:type="paragraph" w:styleId="En-tte">
    <w:name w:val="header"/>
    <w:basedOn w:val="Normal"/>
    <w:link w:val="En-tteCar"/>
    <w:uiPriority w:val="99"/>
    <w:unhideWhenUsed/>
    <w:rsid w:val="00683F8E"/>
    <w:pPr>
      <w:tabs>
        <w:tab w:val="center" w:pos="4536"/>
        <w:tab w:val="right" w:pos="9072"/>
      </w:tabs>
      <w:spacing w:after="0" w:line="240" w:lineRule="auto"/>
    </w:pPr>
  </w:style>
  <w:style w:type="character" w:customStyle="1" w:styleId="En-tteCar">
    <w:name w:val="En-tête Car"/>
    <w:basedOn w:val="Policepardfaut"/>
    <w:link w:val="En-tte"/>
    <w:uiPriority w:val="99"/>
    <w:rsid w:val="00683F8E"/>
  </w:style>
  <w:style w:type="paragraph" w:styleId="Pieddepage">
    <w:name w:val="footer"/>
    <w:basedOn w:val="Normal"/>
    <w:link w:val="PieddepageCar"/>
    <w:uiPriority w:val="99"/>
    <w:unhideWhenUsed/>
    <w:rsid w:val="00683F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F8E"/>
  </w:style>
  <w:style w:type="paragraph" w:styleId="NormalWeb">
    <w:name w:val="Normal (Web)"/>
    <w:basedOn w:val="Normal"/>
    <w:uiPriority w:val="99"/>
    <w:unhideWhenUsed/>
    <w:rsid w:val="00683F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83F8E"/>
    <w:rPr>
      <w:color w:val="0000FF"/>
      <w:u w:val="single"/>
    </w:rPr>
  </w:style>
  <w:style w:type="character" w:styleId="Numrodepage">
    <w:name w:val="page number"/>
    <w:basedOn w:val="Policepardfaut"/>
    <w:uiPriority w:val="99"/>
    <w:semiHidden/>
    <w:unhideWhenUsed/>
    <w:rsid w:val="005861F0"/>
  </w:style>
  <w:style w:type="character" w:customStyle="1" w:styleId="ParagraphedelisteCar">
    <w:name w:val="Paragraphe de liste Car"/>
    <w:aliases w:val="Bullet Formulare Car"/>
    <w:basedOn w:val="Policepardfaut"/>
    <w:link w:val="Paragraphedeliste"/>
    <w:uiPriority w:val="34"/>
    <w:rsid w:val="00FB3CCD"/>
  </w:style>
  <w:style w:type="character" w:styleId="Mentionnonrsolue">
    <w:name w:val="Unresolved Mention"/>
    <w:basedOn w:val="Policepardfaut"/>
    <w:uiPriority w:val="99"/>
    <w:semiHidden/>
    <w:unhideWhenUsed/>
    <w:rsid w:val="007B593D"/>
    <w:rPr>
      <w:color w:val="605E5C"/>
      <w:shd w:val="clear" w:color="auto" w:fill="E1DFDD"/>
    </w:rPr>
  </w:style>
  <w:style w:type="character" w:customStyle="1" w:styleId="Titre2Car">
    <w:name w:val="Titre 2 Car"/>
    <w:basedOn w:val="Policepardfaut"/>
    <w:link w:val="Titre2"/>
    <w:uiPriority w:val="9"/>
    <w:rsid w:val="00E164DB"/>
    <w:rPr>
      <w:rFonts w:ascii="Verdana" w:hAnsi="Verdana" w:cs="Arial"/>
      <w:b/>
      <w:bCs/>
      <w:sz w:val="20"/>
      <w:szCs w:val="20"/>
    </w:rPr>
  </w:style>
  <w:style w:type="paragraph" w:styleId="TM1">
    <w:name w:val="toc 1"/>
    <w:basedOn w:val="Normal"/>
    <w:next w:val="Normal"/>
    <w:autoRedefine/>
    <w:uiPriority w:val="39"/>
    <w:unhideWhenUsed/>
    <w:rsid w:val="00BA6428"/>
    <w:pPr>
      <w:spacing w:after="100"/>
    </w:pPr>
  </w:style>
  <w:style w:type="paragraph" w:styleId="TM2">
    <w:name w:val="toc 2"/>
    <w:basedOn w:val="Normal"/>
    <w:next w:val="Normal"/>
    <w:autoRedefine/>
    <w:uiPriority w:val="39"/>
    <w:unhideWhenUsed/>
    <w:rsid w:val="00BA642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669255340">
      <w:bodyDiv w:val="1"/>
      <w:marLeft w:val="0"/>
      <w:marRight w:val="0"/>
      <w:marTop w:val="0"/>
      <w:marBottom w:val="0"/>
      <w:divBdr>
        <w:top w:val="none" w:sz="0" w:space="0" w:color="auto"/>
        <w:left w:val="none" w:sz="0" w:space="0" w:color="auto"/>
        <w:bottom w:val="none" w:sz="0" w:space="0" w:color="auto"/>
        <w:right w:val="none" w:sz="0" w:space="0" w:color="auto"/>
      </w:divBdr>
      <w:divsChild>
        <w:div w:id="103379700">
          <w:marLeft w:val="0"/>
          <w:marRight w:val="0"/>
          <w:marTop w:val="0"/>
          <w:marBottom w:val="0"/>
          <w:divBdr>
            <w:top w:val="none" w:sz="0" w:space="0" w:color="auto"/>
            <w:left w:val="none" w:sz="0" w:space="0" w:color="auto"/>
            <w:bottom w:val="none" w:sz="0" w:space="0" w:color="auto"/>
            <w:right w:val="none" w:sz="0" w:space="0" w:color="auto"/>
          </w:divBdr>
          <w:divsChild>
            <w:div w:id="9106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5670">
      <w:bodyDiv w:val="1"/>
      <w:marLeft w:val="0"/>
      <w:marRight w:val="0"/>
      <w:marTop w:val="0"/>
      <w:marBottom w:val="0"/>
      <w:divBdr>
        <w:top w:val="none" w:sz="0" w:space="0" w:color="auto"/>
        <w:left w:val="none" w:sz="0" w:space="0" w:color="auto"/>
        <w:bottom w:val="none" w:sz="0" w:space="0" w:color="auto"/>
        <w:right w:val="none" w:sz="0" w:space="0" w:color="auto"/>
      </w:divBdr>
    </w:div>
    <w:div w:id="1161851543">
      <w:bodyDiv w:val="1"/>
      <w:marLeft w:val="0"/>
      <w:marRight w:val="0"/>
      <w:marTop w:val="0"/>
      <w:marBottom w:val="0"/>
      <w:divBdr>
        <w:top w:val="none" w:sz="0" w:space="0" w:color="auto"/>
        <w:left w:val="none" w:sz="0" w:space="0" w:color="auto"/>
        <w:bottom w:val="none" w:sz="0" w:space="0" w:color="auto"/>
        <w:right w:val="none" w:sz="0" w:space="0" w:color="auto"/>
      </w:divBdr>
    </w:div>
    <w:div w:id="1492717347">
      <w:bodyDiv w:val="1"/>
      <w:marLeft w:val="0"/>
      <w:marRight w:val="0"/>
      <w:marTop w:val="0"/>
      <w:marBottom w:val="0"/>
      <w:divBdr>
        <w:top w:val="none" w:sz="0" w:space="0" w:color="auto"/>
        <w:left w:val="none" w:sz="0" w:space="0" w:color="auto"/>
        <w:bottom w:val="none" w:sz="0" w:space="0" w:color="auto"/>
        <w:right w:val="none" w:sz="0" w:space="0" w:color="auto"/>
      </w:divBdr>
    </w:div>
    <w:div w:id="21127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edlex.admin.ch/eli/cc/1952/241_241_245/fr" TargetMode="External"/><Relationship Id="rId18" Type="http://schemas.openxmlformats.org/officeDocument/2006/relationships/hyperlink" Target="http://www.academie-des-dependances.ch/old/161123_Declaration_Ascona.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edlex.admin.ch/eli/cc/2006/76/fr" TargetMode="External"/><Relationship Id="rId17" Type="http://schemas.openxmlformats.org/officeDocument/2006/relationships/hyperlink" Target="https://www.fedlex.admin.ch/eli/cc/2010/267/f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fedlex.admin.ch/eli/cc/1952/241_241_245/fr#art_19_b" TargetMode="External"/><Relationship Id="rId20" Type="http://schemas.openxmlformats.org/officeDocument/2006/relationships/image" Target="media/image6.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70/802_803_802/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edlex.admin.ch/eli/cc/1952/241_241_245/fr#art_1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5.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fedlex.admin.ch/eli/cc/1952/241_241_245/fr#art_19_a"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Protection de l’adulte &amp; de l’enfant (APEA / PAFA)</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C2E6D8FB-7735-4AA6-B95E-A5DF70019464}">
  <ds:schemaRefs>
    <ds:schemaRef ds:uri="http://schemas.openxmlformats.org/officeDocument/2006/bibliography"/>
  </ds:schemaRefs>
</ds:datastoreItem>
</file>

<file path=customXml/itemProps2.xml><?xml version="1.0" encoding="utf-8"?>
<ds:datastoreItem xmlns:ds="http://schemas.openxmlformats.org/officeDocument/2006/customXml" ds:itemID="{CD3E76D5-CBA2-43FE-AAFE-7624290C30C5}"/>
</file>

<file path=customXml/itemProps3.xml><?xml version="1.0" encoding="utf-8"?>
<ds:datastoreItem xmlns:ds="http://schemas.openxmlformats.org/officeDocument/2006/customXml" ds:itemID="{0089DC23-4F56-4F3F-A450-633A1FCFF331}"/>
</file>

<file path=customXml/itemProps4.xml><?xml version="1.0" encoding="utf-8"?>
<ds:datastoreItem xmlns:ds="http://schemas.openxmlformats.org/officeDocument/2006/customXml" ds:itemID="{FF420939-A21A-42D2-B8DA-AAFA6BE99841}"/>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12850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PETRUCCI Damien</dc:creator>
  <cp:keywords/>
  <dc:description/>
  <cp:lastModifiedBy>Laurence Petoud</cp:lastModifiedBy>
  <cp:revision>31</cp:revision>
  <dcterms:created xsi:type="dcterms:W3CDTF">2021-01-05T16:07:00Z</dcterms:created>
  <dcterms:modified xsi:type="dcterms:W3CDTF">2023-03-22T11:06:00Z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