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B2738" w14:textId="2E7E5913" w:rsidR="004F08FB" w:rsidRPr="00C80C57" w:rsidRDefault="004F08FB" w:rsidP="00C80C57">
      <w:pPr>
        <w:rPr>
          <w:rFonts w:cs="Arial"/>
          <w:b/>
          <w:bCs/>
          <w:caps/>
          <w:sz w:val="22"/>
        </w:rPr>
      </w:pPr>
      <w:r w:rsidRPr="00C80C57">
        <w:rPr>
          <w:rFonts w:cs="Arial"/>
          <w:b/>
          <w:bCs/>
          <w:caps/>
          <w:sz w:val="22"/>
        </w:rPr>
        <w:t xml:space="preserve">Droit à la sante et migration </w:t>
      </w:r>
    </w:p>
    <w:p w14:paraId="1A0C6D75" w14:textId="77777777" w:rsidR="004F08FB" w:rsidRPr="00C80C57" w:rsidRDefault="004F08FB" w:rsidP="00C80C57">
      <w:pPr>
        <w:rPr>
          <w:rFonts w:cs="Arial"/>
          <w:sz w:val="22"/>
        </w:rPr>
      </w:pPr>
    </w:p>
    <w:p w14:paraId="69CFDA5F" w14:textId="555B8C0A" w:rsidR="004F08FB" w:rsidRPr="00C80C57" w:rsidRDefault="004F08FB" w:rsidP="00C80C57">
      <w:pPr>
        <w:pBdr>
          <w:bottom w:val="single" w:sz="12" w:space="1" w:color="auto"/>
        </w:pBdr>
        <w:rPr>
          <w:rFonts w:cs="Arial"/>
          <w:b/>
          <w:bCs/>
          <w:smallCaps/>
          <w:sz w:val="22"/>
        </w:rPr>
      </w:pPr>
      <w:r w:rsidRPr="00C80C57">
        <w:rPr>
          <w:rFonts w:cs="Arial"/>
          <w:b/>
          <w:bCs/>
          <w:smallCaps/>
          <w:sz w:val="22"/>
        </w:rPr>
        <w:t xml:space="preserve">Arrêt </w:t>
      </w:r>
      <w:proofErr w:type="spellStart"/>
      <w:r w:rsidRPr="00C80C57">
        <w:rPr>
          <w:rFonts w:cs="Arial"/>
          <w:b/>
          <w:bCs/>
          <w:smallCaps/>
          <w:sz w:val="22"/>
        </w:rPr>
        <w:t>paposhvili</w:t>
      </w:r>
      <w:proofErr w:type="spellEnd"/>
      <w:r w:rsidRPr="00C80C57">
        <w:rPr>
          <w:rFonts w:cs="Arial"/>
          <w:b/>
          <w:bCs/>
          <w:smallCaps/>
          <w:sz w:val="22"/>
        </w:rPr>
        <w:t xml:space="preserve"> c/Belgique : à quoi se rapporte-t-il ? quelle est la principale disposition de la </w:t>
      </w:r>
      <w:proofErr w:type="spellStart"/>
      <w:r w:rsidRPr="00C80C57">
        <w:rPr>
          <w:rFonts w:cs="Arial"/>
          <w:b/>
          <w:bCs/>
          <w:smallCaps/>
          <w:sz w:val="22"/>
        </w:rPr>
        <w:t>cedh</w:t>
      </w:r>
      <w:proofErr w:type="spellEnd"/>
      <w:r w:rsidRPr="00C80C57">
        <w:rPr>
          <w:rFonts w:cs="Arial"/>
          <w:b/>
          <w:bCs/>
          <w:smallCaps/>
          <w:sz w:val="22"/>
        </w:rPr>
        <w:t xml:space="preserve"> visée ? à quelle question principale répond-il et quelles sont les conditions fixées ? En quoi l’arrêt est-il nouveau ?</w:t>
      </w:r>
      <w:r w:rsidRPr="00C80C57">
        <w:rPr>
          <w:rFonts w:cs="Arial"/>
          <w:b/>
          <w:bCs/>
          <w:smallCaps/>
          <w:sz w:val="22"/>
        </w:rPr>
        <w:t xml:space="preserve"> </w:t>
      </w:r>
    </w:p>
    <w:p w14:paraId="65F9698B" w14:textId="77777777" w:rsidR="004F08FB" w:rsidRPr="00C80C57" w:rsidRDefault="004F08FB" w:rsidP="00C80C57">
      <w:pPr>
        <w:rPr>
          <w:rFonts w:cs="Arial"/>
          <w:b/>
          <w:bCs/>
          <w:smallCaps/>
          <w:sz w:val="22"/>
        </w:rPr>
      </w:pPr>
    </w:p>
    <w:p w14:paraId="2268ED5F" w14:textId="77777777" w:rsidR="004F08FB" w:rsidRPr="00C80C57" w:rsidRDefault="004F08FB" w:rsidP="00C80C57">
      <w:pPr>
        <w:pStyle w:val="Paragraphedeliste"/>
        <w:ind w:left="0"/>
        <w:rPr>
          <w:rFonts w:cs="Arial"/>
          <w:sz w:val="22"/>
        </w:rPr>
      </w:pPr>
    </w:p>
    <w:p w14:paraId="455A1AD8" w14:textId="79B1AEB2" w:rsidR="004F08FB" w:rsidRPr="00C80C57" w:rsidRDefault="00C80C57" w:rsidP="00755DAC">
      <w:pPr>
        <w:pStyle w:val="Paragraphedeliste"/>
        <w:numPr>
          <w:ilvl w:val="0"/>
          <w:numId w:val="11"/>
        </w:numPr>
        <w:rPr>
          <w:rFonts w:cs="Arial"/>
          <w:b/>
          <w:bCs/>
          <w:sz w:val="22"/>
        </w:rPr>
      </w:pPr>
      <w:r>
        <w:rPr>
          <w:rFonts w:cs="Arial"/>
          <w:b/>
          <w:bCs/>
          <w:sz w:val="22"/>
        </w:rPr>
        <w:t>Les</w:t>
      </w:r>
      <w:r w:rsidR="00E24DDB" w:rsidRPr="00C80C57">
        <w:rPr>
          <w:rFonts w:cs="Arial"/>
          <w:b/>
          <w:bCs/>
          <w:sz w:val="22"/>
        </w:rPr>
        <w:t xml:space="preserve"> faits </w:t>
      </w:r>
    </w:p>
    <w:p w14:paraId="6ABC605B" w14:textId="57C98163" w:rsidR="00E24DDB" w:rsidRPr="00C80C57" w:rsidRDefault="00E24DDB" w:rsidP="00C80C57">
      <w:pPr>
        <w:pStyle w:val="Paragraphedeliste"/>
        <w:ind w:left="0"/>
        <w:rPr>
          <w:rFonts w:cs="Arial"/>
          <w:sz w:val="22"/>
        </w:rPr>
      </w:pPr>
    </w:p>
    <w:p w14:paraId="17968648" w14:textId="5BD147C7" w:rsidR="00C80C57" w:rsidRPr="00C80C57" w:rsidRDefault="00E24DDB" w:rsidP="00C80C57">
      <w:pPr>
        <w:rPr>
          <w:rFonts w:eastAsia="Times New Roman" w:cs="Arial"/>
          <w:sz w:val="22"/>
          <w:lang w:val="fr-CH" w:eastAsia="fr-FR"/>
        </w:rPr>
      </w:pPr>
      <w:r w:rsidRPr="00E24DDB">
        <w:rPr>
          <w:rFonts w:eastAsia="Times New Roman" w:cs="Arial"/>
          <w:sz w:val="22"/>
          <w:lang w:val="fr-CH" w:eastAsia="fr-FR"/>
        </w:rPr>
        <w:t>Le requérant</w:t>
      </w:r>
      <w:r w:rsidR="00C80C57">
        <w:rPr>
          <w:rFonts w:eastAsia="Times New Roman" w:cs="Arial"/>
          <w:sz w:val="22"/>
          <w:lang w:val="fr-CH" w:eastAsia="fr-FR"/>
        </w:rPr>
        <w:t>, Géorgien,</w:t>
      </w:r>
      <w:r w:rsidRPr="00E24DDB">
        <w:rPr>
          <w:rFonts w:eastAsia="Times New Roman" w:cs="Arial"/>
          <w:sz w:val="22"/>
          <w:lang w:val="fr-CH" w:eastAsia="fr-FR"/>
        </w:rPr>
        <w:t xml:space="preserve"> est né en 1958</w:t>
      </w:r>
      <w:r w:rsidR="00C80C57" w:rsidRPr="00C80C57">
        <w:rPr>
          <w:rFonts w:eastAsia="Times New Roman" w:cs="Arial"/>
          <w:sz w:val="22"/>
          <w:lang w:val="fr-CH" w:eastAsia="fr-FR"/>
        </w:rPr>
        <w:t xml:space="preserve"> et est arrivé en Belgique en novembre 1998, accompagné de son épouse et d’une enfant alors âgée de six ans. </w:t>
      </w:r>
    </w:p>
    <w:p w14:paraId="10D9E632" w14:textId="77777777" w:rsidR="00C80C57" w:rsidRPr="00C80C57" w:rsidRDefault="00C80C57" w:rsidP="00C80C57">
      <w:pPr>
        <w:rPr>
          <w:rFonts w:eastAsia="Times New Roman" w:cs="Arial"/>
          <w:sz w:val="22"/>
          <w:lang w:val="fr-CH" w:eastAsia="fr-FR"/>
        </w:rPr>
      </w:pPr>
    </w:p>
    <w:p w14:paraId="71A92225" w14:textId="52B3744D" w:rsidR="00E24DDB" w:rsidRPr="00C80C57" w:rsidRDefault="00E24DDB" w:rsidP="00C80C57">
      <w:pPr>
        <w:rPr>
          <w:rFonts w:eastAsia="Times New Roman" w:cs="Arial"/>
          <w:sz w:val="22"/>
          <w:lang w:val="fr-CH" w:eastAsia="fr-FR"/>
        </w:rPr>
      </w:pPr>
      <w:r w:rsidRPr="00E24DDB">
        <w:rPr>
          <w:rFonts w:eastAsia="Times New Roman" w:cs="Arial"/>
          <w:sz w:val="22"/>
          <w:lang w:val="fr-CH" w:eastAsia="fr-FR"/>
        </w:rPr>
        <w:t>Il</w:t>
      </w:r>
      <w:r w:rsidRPr="00C80C57">
        <w:rPr>
          <w:rFonts w:eastAsia="Times New Roman" w:cs="Arial"/>
          <w:sz w:val="22"/>
          <w:lang w:val="fr-CH" w:eastAsia="fr-FR"/>
        </w:rPr>
        <w:t xml:space="preserve"> </w:t>
      </w:r>
      <w:r w:rsidRPr="00E24DDB">
        <w:rPr>
          <w:rFonts w:eastAsia="Times New Roman" w:cs="Arial"/>
          <w:sz w:val="22"/>
          <w:lang w:val="fr-CH" w:eastAsia="fr-FR"/>
        </w:rPr>
        <w:t>a résidé</w:t>
      </w:r>
      <w:r w:rsidRPr="00C80C57">
        <w:rPr>
          <w:rFonts w:eastAsia="Times New Roman" w:cs="Arial"/>
          <w:sz w:val="22"/>
          <w:lang w:val="fr-CH" w:eastAsia="fr-FR"/>
        </w:rPr>
        <w:t xml:space="preserve"> </w:t>
      </w:r>
      <w:r w:rsidRPr="00E24DDB">
        <w:rPr>
          <w:rFonts w:eastAsia="Times New Roman" w:cs="Arial"/>
          <w:sz w:val="22"/>
          <w:lang w:val="fr-CH" w:eastAsia="fr-FR"/>
        </w:rPr>
        <w:t>à Bruxelles</w:t>
      </w:r>
      <w:r w:rsidRPr="00C80C57">
        <w:rPr>
          <w:rFonts w:eastAsia="Times New Roman" w:cs="Arial"/>
          <w:sz w:val="22"/>
          <w:lang w:val="fr-CH" w:eastAsia="fr-FR"/>
        </w:rPr>
        <w:t xml:space="preserve"> </w:t>
      </w:r>
      <w:r w:rsidRPr="00E24DDB">
        <w:rPr>
          <w:rFonts w:eastAsia="Times New Roman" w:cs="Arial"/>
          <w:sz w:val="22"/>
          <w:lang w:val="fr-CH" w:eastAsia="fr-FR"/>
        </w:rPr>
        <w:t>et y est décédé</w:t>
      </w:r>
      <w:r w:rsidRPr="00C80C57">
        <w:rPr>
          <w:rFonts w:eastAsia="Times New Roman" w:cs="Arial"/>
          <w:sz w:val="22"/>
          <w:lang w:val="fr-CH" w:eastAsia="fr-FR"/>
        </w:rPr>
        <w:t xml:space="preserve"> </w:t>
      </w:r>
      <w:r w:rsidRPr="00E24DDB">
        <w:rPr>
          <w:rFonts w:eastAsia="Times New Roman" w:cs="Arial"/>
          <w:sz w:val="22"/>
          <w:lang w:val="fr-CH" w:eastAsia="fr-FR"/>
        </w:rPr>
        <w:t>le 7 juin 2016</w:t>
      </w:r>
      <w:r w:rsidR="00C80C57">
        <w:rPr>
          <w:rFonts w:eastAsia="Times New Roman" w:cs="Arial"/>
          <w:sz w:val="22"/>
          <w:lang w:val="fr-CH" w:eastAsia="fr-FR"/>
        </w:rPr>
        <w:t>.</w:t>
      </w:r>
      <w:r w:rsidRPr="00E24DDB">
        <w:rPr>
          <w:rFonts w:eastAsia="Times New Roman" w:cs="Arial"/>
          <w:sz w:val="22"/>
          <w:lang w:val="fr-CH" w:eastAsia="fr-FR"/>
        </w:rPr>
        <w:t xml:space="preserve"> </w:t>
      </w:r>
    </w:p>
    <w:p w14:paraId="5709972B" w14:textId="5C3FD97B" w:rsidR="00E24DDB" w:rsidRPr="00C80C57" w:rsidRDefault="00E24DDB" w:rsidP="00C80C57">
      <w:pPr>
        <w:rPr>
          <w:rFonts w:eastAsia="Times New Roman" w:cs="Arial"/>
          <w:sz w:val="22"/>
          <w:lang w:val="fr-CH" w:eastAsia="fr-FR"/>
        </w:rPr>
      </w:pPr>
    </w:p>
    <w:p w14:paraId="458D4A1C" w14:textId="77B2EE41" w:rsidR="00C80C57" w:rsidRPr="00E24DDB" w:rsidRDefault="00C80C57" w:rsidP="00C80C57">
      <w:pPr>
        <w:rPr>
          <w:rFonts w:eastAsia="Times New Roman" w:cs="Arial"/>
          <w:sz w:val="22"/>
          <w:lang w:val="fr-CH" w:eastAsia="fr-FR"/>
        </w:rPr>
      </w:pPr>
      <w:r w:rsidRPr="00E24DDB">
        <w:rPr>
          <w:rFonts w:eastAsia="Times New Roman" w:cs="Arial"/>
          <w:sz w:val="22"/>
          <w:lang w:val="fr-CH" w:eastAsia="fr-FR"/>
        </w:rPr>
        <w:t>Courant 2006, alors que le requérant était incarcéré</w:t>
      </w:r>
      <w:r>
        <w:rPr>
          <w:rFonts w:eastAsia="Times New Roman" w:cs="Arial"/>
          <w:sz w:val="22"/>
          <w:lang w:val="fr-CH" w:eastAsia="fr-FR"/>
        </w:rPr>
        <w:t>,</w:t>
      </w:r>
      <w:r w:rsidRPr="00E24DDB">
        <w:rPr>
          <w:rFonts w:eastAsia="Times New Roman" w:cs="Arial"/>
          <w:sz w:val="22"/>
          <w:lang w:val="fr-CH" w:eastAsia="fr-FR"/>
        </w:rPr>
        <w:t xml:space="preserve"> on lui diagnostiqua</w:t>
      </w:r>
      <w:r w:rsidRPr="00C80C57">
        <w:rPr>
          <w:rFonts w:eastAsia="Times New Roman" w:cs="Arial"/>
          <w:sz w:val="22"/>
          <w:lang w:val="fr-CH" w:eastAsia="fr-FR"/>
        </w:rPr>
        <w:t xml:space="preserve"> </w:t>
      </w:r>
      <w:r w:rsidRPr="00E24DDB">
        <w:rPr>
          <w:rFonts w:eastAsia="Times New Roman" w:cs="Arial"/>
          <w:sz w:val="22"/>
          <w:lang w:val="fr-CH" w:eastAsia="fr-FR"/>
        </w:rPr>
        <w:t>une leucémie lymphoïde</w:t>
      </w:r>
      <w:r w:rsidRPr="00C80C57">
        <w:rPr>
          <w:rFonts w:eastAsia="Times New Roman" w:cs="Arial"/>
          <w:sz w:val="22"/>
          <w:lang w:val="fr-CH" w:eastAsia="fr-FR"/>
        </w:rPr>
        <w:t xml:space="preserve"> </w:t>
      </w:r>
      <w:r w:rsidRPr="00E24DDB">
        <w:rPr>
          <w:rFonts w:eastAsia="Times New Roman" w:cs="Arial"/>
          <w:sz w:val="22"/>
          <w:lang w:val="fr-CH" w:eastAsia="fr-FR"/>
        </w:rPr>
        <w:t>chronique.</w:t>
      </w:r>
      <w:r w:rsidRPr="00C80C57">
        <w:rPr>
          <w:rFonts w:eastAsia="Times New Roman" w:cs="Arial"/>
          <w:sz w:val="22"/>
          <w:lang w:val="fr-CH" w:eastAsia="fr-FR"/>
        </w:rPr>
        <w:t xml:space="preserve"> </w:t>
      </w:r>
      <w:r w:rsidRPr="00E24DDB">
        <w:rPr>
          <w:rFonts w:eastAsia="Times New Roman" w:cs="Arial"/>
          <w:sz w:val="22"/>
          <w:lang w:val="fr-CH" w:eastAsia="fr-FR"/>
        </w:rPr>
        <w:t>Après une rechute diagnostiquée courant 2013,</w:t>
      </w:r>
      <w:r w:rsidR="00471E10">
        <w:rPr>
          <w:rFonts w:eastAsia="Times New Roman" w:cs="Arial"/>
          <w:sz w:val="22"/>
          <w:lang w:val="fr-CH" w:eastAsia="fr-FR"/>
        </w:rPr>
        <w:t xml:space="preserve"> </w:t>
      </w:r>
      <w:r w:rsidRPr="00E24DDB">
        <w:rPr>
          <w:rFonts w:eastAsia="Times New Roman" w:cs="Arial"/>
          <w:sz w:val="22"/>
          <w:lang w:val="fr-CH" w:eastAsia="fr-FR"/>
        </w:rPr>
        <w:t>les médecins du CHU St Pierre décelèrent,</w:t>
      </w:r>
      <w:r w:rsidRPr="00C80C57">
        <w:rPr>
          <w:rFonts w:eastAsia="Times New Roman" w:cs="Arial"/>
          <w:sz w:val="22"/>
          <w:lang w:val="fr-CH" w:eastAsia="fr-FR"/>
        </w:rPr>
        <w:t xml:space="preserve"> </w:t>
      </w:r>
      <w:r w:rsidRPr="00E24DDB">
        <w:rPr>
          <w:rFonts w:eastAsia="Times New Roman" w:cs="Arial"/>
          <w:sz w:val="22"/>
          <w:lang w:val="fr-CH" w:eastAsia="fr-FR"/>
        </w:rPr>
        <w:t xml:space="preserve">en mars 2014, une transformation de la leucémie en lymphome </w:t>
      </w:r>
      <w:proofErr w:type="spellStart"/>
      <w:r w:rsidRPr="00E24DDB">
        <w:rPr>
          <w:rFonts w:eastAsia="Times New Roman" w:cs="Arial"/>
          <w:sz w:val="22"/>
          <w:lang w:val="fr-CH" w:eastAsia="fr-FR"/>
        </w:rPr>
        <w:t>lymphocytique</w:t>
      </w:r>
      <w:proofErr w:type="spellEnd"/>
      <w:r w:rsidRPr="00E24DDB">
        <w:rPr>
          <w:rFonts w:eastAsia="Times New Roman" w:cs="Arial"/>
          <w:sz w:val="22"/>
          <w:lang w:val="fr-CH" w:eastAsia="fr-FR"/>
        </w:rPr>
        <w:t xml:space="preserve"> et le traitement chimiothérapique fut adapté. </w:t>
      </w:r>
    </w:p>
    <w:p w14:paraId="18872D7D" w14:textId="5860E445" w:rsidR="00C80C57" w:rsidRPr="00C80C57" w:rsidRDefault="00C80C57" w:rsidP="00C80C57">
      <w:pPr>
        <w:rPr>
          <w:rFonts w:eastAsia="Times New Roman" w:cs="Arial"/>
          <w:sz w:val="22"/>
          <w:lang w:val="fr-CH" w:eastAsia="fr-FR"/>
        </w:rPr>
      </w:pPr>
    </w:p>
    <w:p w14:paraId="6DA7DFB5" w14:textId="51EB33CF" w:rsidR="00E24DDB" w:rsidRPr="00E24DDB" w:rsidRDefault="00E24DDB" w:rsidP="00C80C57">
      <w:pPr>
        <w:rPr>
          <w:rFonts w:eastAsia="Times New Roman" w:cs="Arial"/>
          <w:sz w:val="22"/>
          <w:lang w:val="fr-CH" w:eastAsia="fr-FR"/>
        </w:rPr>
      </w:pPr>
      <w:r w:rsidRPr="00E24DDB">
        <w:rPr>
          <w:rFonts w:eastAsia="Times New Roman" w:cs="Arial"/>
          <w:sz w:val="22"/>
          <w:lang w:val="fr-CH" w:eastAsia="fr-FR"/>
        </w:rPr>
        <w:t xml:space="preserve">Le requérant saisit la Cour d’une demande de mesures provisoires en vue de suspendre l’ordre de quitter le territoire. Alléguant que son renvoi vers la Géorgie l’aurait exposé à des risques pour sa vie et son intégrité physique et aurait porté atteinte au droit au respect de sa vie familiale, le requérant se disait victime d’une violation potentielle des articles 2, 3 et 8 </w:t>
      </w:r>
      <w:r w:rsidR="00C80C57" w:rsidRPr="00C80C57">
        <w:rPr>
          <w:rFonts w:eastAsia="Times New Roman" w:cs="Arial"/>
          <w:sz w:val="22"/>
          <w:lang w:val="fr-CH" w:eastAsia="fr-FR"/>
        </w:rPr>
        <w:t>CEDH</w:t>
      </w:r>
      <w:r w:rsidRPr="00E24DDB">
        <w:rPr>
          <w:rFonts w:eastAsia="Times New Roman" w:cs="Arial"/>
          <w:sz w:val="22"/>
          <w:lang w:val="fr-CH" w:eastAsia="fr-FR"/>
        </w:rPr>
        <w:t xml:space="preserve">. </w:t>
      </w:r>
    </w:p>
    <w:p w14:paraId="65D4858A" w14:textId="77777777" w:rsidR="00E24DDB" w:rsidRPr="00E24DDB" w:rsidRDefault="00E24DDB" w:rsidP="00C80C57">
      <w:pPr>
        <w:rPr>
          <w:rFonts w:eastAsia="Times New Roman" w:cs="Arial"/>
          <w:sz w:val="22"/>
          <w:lang w:val="fr-CH" w:eastAsia="fr-FR"/>
        </w:rPr>
      </w:pPr>
    </w:p>
    <w:p w14:paraId="3B62D1D0" w14:textId="77777777" w:rsidR="00C80C57" w:rsidRDefault="00E24DDB" w:rsidP="00C80C57">
      <w:pPr>
        <w:rPr>
          <w:rFonts w:eastAsia="Times New Roman" w:cs="Arial"/>
          <w:sz w:val="22"/>
          <w:lang w:val="fr-CH" w:eastAsia="fr-FR"/>
        </w:rPr>
      </w:pPr>
      <w:r w:rsidRPr="00E24DDB">
        <w:rPr>
          <w:rFonts w:eastAsia="Times New Roman" w:cs="Arial"/>
          <w:sz w:val="22"/>
          <w:lang w:val="fr-CH" w:eastAsia="fr-FR"/>
        </w:rPr>
        <w:t xml:space="preserve">Outre ses diverses pathologies, il invoquait sa présence ininterrompue depuis onze ans sur le territoire belge et les attaches sociales durables qu’il avait en Belgique ainsi que sa situation familiale. </w:t>
      </w:r>
    </w:p>
    <w:p w14:paraId="03A4AEA9" w14:textId="77777777" w:rsidR="00C80C57" w:rsidRDefault="00C80C57" w:rsidP="00C80C57">
      <w:pPr>
        <w:rPr>
          <w:rFonts w:eastAsia="Times New Roman" w:cs="Arial"/>
          <w:sz w:val="22"/>
          <w:lang w:val="fr-CH" w:eastAsia="fr-FR"/>
        </w:rPr>
      </w:pPr>
    </w:p>
    <w:p w14:paraId="37D2AB3B" w14:textId="5917DDCC" w:rsidR="00E24DDB" w:rsidRPr="00C80C57" w:rsidRDefault="00E24DDB" w:rsidP="00C80C57">
      <w:pPr>
        <w:rPr>
          <w:rFonts w:eastAsia="Times New Roman" w:cs="Arial"/>
          <w:sz w:val="22"/>
          <w:lang w:val="fr-CH" w:eastAsia="fr-FR"/>
        </w:rPr>
      </w:pPr>
      <w:r w:rsidRPr="00E24DDB">
        <w:rPr>
          <w:rFonts w:eastAsia="Times New Roman" w:cs="Arial"/>
          <w:sz w:val="22"/>
          <w:lang w:val="fr-CH" w:eastAsia="fr-FR"/>
        </w:rPr>
        <w:t>Il faisait également valoir qu’en cas de retour il se verrait livré à lui-même, malade, dans un pays où il n’avait plus d’attache familiale et dont les structures médicales étaient inadaptées et coûteuses.</w:t>
      </w:r>
    </w:p>
    <w:p w14:paraId="3C08C7F7" w14:textId="77777777" w:rsidR="00755DAC" w:rsidRDefault="00755DAC" w:rsidP="00C80C57">
      <w:pPr>
        <w:pStyle w:val="Paragraphedeliste"/>
        <w:ind w:left="0"/>
        <w:rPr>
          <w:rFonts w:cs="Arial"/>
          <w:sz w:val="22"/>
        </w:rPr>
      </w:pPr>
    </w:p>
    <w:p w14:paraId="117E7032" w14:textId="77777777" w:rsidR="000A3D1A" w:rsidRPr="00C80C57" w:rsidRDefault="000A3D1A" w:rsidP="00C80C57">
      <w:pPr>
        <w:pStyle w:val="Paragraphedeliste"/>
        <w:ind w:left="0"/>
        <w:rPr>
          <w:rFonts w:cs="Arial"/>
          <w:sz w:val="22"/>
        </w:rPr>
      </w:pPr>
    </w:p>
    <w:p w14:paraId="3AA2FAF7" w14:textId="76DC4902" w:rsidR="000A3D1A" w:rsidRPr="00C80C57" w:rsidRDefault="00755DAC" w:rsidP="00755DAC">
      <w:pPr>
        <w:pStyle w:val="Paragraphedeliste"/>
        <w:numPr>
          <w:ilvl w:val="0"/>
          <w:numId w:val="10"/>
        </w:numPr>
        <w:rPr>
          <w:rFonts w:cs="Arial"/>
          <w:b/>
          <w:bCs/>
          <w:sz w:val="22"/>
          <w:u w:val="single"/>
        </w:rPr>
      </w:pPr>
      <w:r>
        <w:rPr>
          <w:rFonts w:cs="Arial"/>
          <w:b/>
          <w:bCs/>
          <w:sz w:val="22"/>
          <w:u w:val="single"/>
        </w:rPr>
        <w:t>Dispositions CEDH</w:t>
      </w:r>
    </w:p>
    <w:p w14:paraId="1982B68A" w14:textId="77777777" w:rsidR="000A3D1A" w:rsidRPr="00C80C57" w:rsidRDefault="000A3D1A" w:rsidP="00C80C57">
      <w:pPr>
        <w:rPr>
          <w:rFonts w:cs="Arial"/>
          <w:sz w:val="22"/>
        </w:rPr>
      </w:pPr>
    </w:p>
    <w:p w14:paraId="2EF3DC4F" w14:textId="0D2F2CE7" w:rsidR="000A3D1A" w:rsidRPr="00755DAC" w:rsidRDefault="00755DAC" w:rsidP="00C80C57">
      <w:pPr>
        <w:rPr>
          <w:rFonts w:cs="Arial"/>
          <w:sz w:val="22"/>
        </w:rPr>
      </w:pPr>
      <w:r>
        <w:rPr>
          <w:rFonts w:cs="Arial"/>
          <w:sz w:val="22"/>
        </w:rPr>
        <w:t>L’art. 3 CEDH prévoit que « </w:t>
      </w:r>
      <w:r>
        <w:rPr>
          <w:rFonts w:cs="Arial"/>
          <w:i/>
          <w:iCs/>
          <w:sz w:val="22"/>
        </w:rPr>
        <w:t>n</w:t>
      </w:r>
      <w:r w:rsidR="000A3D1A" w:rsidRPr="00755DAC">
        <w:rPr>
          <w:rFonts w:cs="Arial"/>
          <w:i/>
          <w:iCs/>
          <w:sz w:val="22"/>
        </w:rPr>
        <w:t>ul ne peut être soumis à la torture ni à des peines ou traitements inhumains ou dégradants</w:t>
      </w:r>
      <w:r>
        <w:rPr>
          <w:rFonts w:cs="Arial"/>
          <w:sz w:val="22"/>
        </w:rPr>
        <w:t xml:space="preserve"> ». </w:t>
      </w:r>
    </w:p>
    <w:p w14:paraId="5C57A035" w14:textId="77777777" w:rsidR="000A3D1A" w:rsidRPr="00C80C57" w:rsidRDefault="000A3D1A" w:rsidP="00C80C57">
      <w:pPr>
        <w:rPr>
          <w:rFonts w:cs="Arial"/>
          <w:i/>
          <w:iCs/>
          <w:sz w:val="22"/>
        </w:rPr>
      </w:pPr>
    </w:p>
    <w:p w14:paraId="28AA0578" w14:textId="375C9C13" w:rsidR="000A3D1A" w:rsidRPr="00C80C57" w:rsidRDefault="00755DAC" w:rsidP="00C80C57">
      <w:pPr>
        <w:rPr>
          <w:rFonts w:cs="Arial"/>
          <w:sz w:val="22"/>
        </w:rPr>
      </w:pPr>
      <w:r>
        <w:rPr>
          <w:rFonts w:cs="Arial"/>
          <w:sz w:val="22"/>
        </w:rPr>
        <w:t xml:space="preserve">Le renvoi s’apparenterait-il a un traitement inhumain dans le cas d’espèce, étant donné la maladie dont souffrait le recourant ? </w:t>
      </w:r>
    </w:p>
    <w:p w14:paraId="1DA09BDF" w14:textId="7BE9D632" w:rsidR="000A3D1A" w:rsidRDefault="000A3D1A" w:rsidP="00755DAC">
      <w:pPr>
        <w:rPr>
          <w:rFonts w:cs="Arial"/>
          <w:sz w:val="22"/>
        </w:rPr>
      </w:pPr>
    </w:p>
    <w:p w14:paraId="70B2E9A6" w14:textId="31FD151A" w:rsidR="00755DAC" w:rsidRPr="00755DAC" w:rsidRDefault="00755DAC" w:rsidP="00755DAC">
      <w:pPr>
        <w:rPr>
          <w:rFonts w:eastAsia="Times New Roman" w:cs="Arial"/>
          <w:sz w:val="22"/>
          <w:lang w:val="fr-CH" w:eastAsia="fr-FR"/>
        </w:rPr>
      </w:pPr>
      <w:r w:rsidRPr="00755DAC">
        <w:rPr>
          <w:rFonts w:cs="Arial"/>
          <w:sz w:val="22"/>
        </w:rPr>
        <w:t>L’art. 8 CEDH prévoit que « </w:t>
      </w:r>
      <w:r w:rsidRPr="00755DAC">
        <w:rPr>
          <w:rFonts w:eastAsia="Times New Roman" w:cs="Arial"/>
          <w:i/>
          <w:iCs/>
          <w:sz w:val="22"/>
          <w:lang w:val="fr-CH" w:eastAsia="fr-FR"/>
        </w:rPr>
        <w:t>Toute personne a droit au respect de sa vie privée et familiale, de son domicile et de sa correspondance</w:t>
      </w:r>
      <w:r w:rsidRPr="00755DAC">
        <w:rPr>
          <w:rFonts w:eastAsia="Times New Roman" w:cs="Arial"/>
          <w:sz w:val="22"/>
          <w:lang w:val="fr-CH" w:eastAsia="fr-FR"/>
        </w:rPr>
        <w:t> »</w:t>
      </w:r>
      <w:r w:rsidRPr="00755DAC">
        <w:rPr>
          <w:rFonts w:eastAsia="Times New Roman" w:cs="Arial"/>
          <w:sz w:val="22"/>
          <w:lang w:val="fr-CH" w:eastAsia="fr-FR"/>
        </w:rPr>
        <w:t>.</w:t>
      </w:r>
    </w:p>
    <w:p w14:paraId="54CB41C3" w14:textId="551F4742" w:rsidR="00755DAC" w:rsidRDefault="00755DAC" w:rsidP="00755DAC">
      <w:pPr>
        <w:rPr>
          <w:rFonts w:cs="Arial"/>
          <w:sz w:val="22"/>
          <w:lang w:val="fr-CH"/>
        </w:rPr>
      </w:pPr>
    </w:p>
    <w:p w14:paraId="0F1347D1" w14:textId="475315D7" w:rsidR="00755DAC" w:rsidRDefault="00755DAC" w:rsidP="00755DAC">
      <w:pPr>
        <w:rPr>
          <w:rFonts w:cs="Arial"/>
          <w:sz w:val="22"/>
          <w:lang w:val="fr-CH"/>
        </w:rPr>
      </w:pPr>
      <w:r>
        <w:rPr>
          <w:rFonts w:cs="Arial"/>
          <w:sz w:val="22"/>
          <w:lang w:val="fr-CH"/>
        </w:rPr>
        <w:t>Le renvoi aurait-il porté atteinte à sa vie de famille, sachant que les enfants du recourant étaient nés en Belgique, parlaient français, ni russe, ni géorgien.</w:t>
      </w:r>
    </w:p>
    <w:p w14:paraId="5979A395" w14:textId="2A857A19" w:rsidR="00755DAC" w:rsidRDefault="00755DAC" w:rsidP="00755DAC">
      <w:pPr>
        <w:rPr>
          <w:rFonts w:cs="Arial"/>
          <w:sz w:val="22"/>
          <w:lang w:val="fr-CH"/>
        </w:rPr>
      </w:pPr>
    </w:p>
    <w:p w14:paraId="072D3A58" w14:textId="77777777" w:rsidR="00471E10" w:rsidRDefault="00471E10" w:rsidP="00755DAC">
      <w:pPr>
        <w:rPr>
          <w:rFonts w:cs="Arial"/>
          <w:sz w:val="22"/>
          <w:lang w:val="fr-CH"/>
        </w:rPr>
      </w:pPr>
    </w:p>
    <w:p w14:paraId="336EB41C" w14:textId="3A2417A8" w:rsidR="000A3D1A" w:rsidRPr="00755DAC" w:rsidRDefault="00755DAC" w:rsidP="00755DAC">
      <w:pPr>
        <w:pStyle w:val="Paragraphedeliste"/>
        <w:numPr>
          <w:ilvl w:val="0"/>
          <w:numId w:val="10"/>
        </w:numPr>
        <w:rPr>
          <w:rFonts w:cs="Arial"/>
          <w:b/>
          <w:bCs/>
          <w:sz w:val="22"/>
          <w:u w:val="single"/>
        </w:rPr>
      </w:pPr>
      <w:r w:rsidRPr="00755DAC">
        <w:rPr>
          <w:rFonts w:cs="Arial"/>
          <w:b/>
          <w:bCs/>
          <w:sz w:val="22"/>
          <w:u w:val="single"/>
        </w:rPr>
        <w:t xml:space="preserve">Question </w:t>
      </w:r>
      <w:r w:rsidR="000A3D1A" w:rsidRPr="00755DAC">
        <w:rPr>
          <w:rFonts w:cs="Arial"/>
          <w:b/>
          <w:bCs/>
          <w:sz w:val="22"/>
          <w:u w:val="single"/>
        </w:rPr>
        <w:t xml:space="preserve">principale </w:t>
      </w:r>
      <w:r w:rsidRPr="00755DAC">
        <w:rPr>
          <w:rFonts w:cs="Arial"/>
          <w:b/>
          <w:bCs/>
          <w:sz w:val="22"/>
          <w:u w:val="single"/>
        </w:rPr>
        <w:t>de l’arrêt</w:t>
      </w:r>
    </w:p>
    <w:p w14:paraId="3900630D" w14:textId="77777777" w:rsidR="000A3D1A" w:rsidRPr="00C80C57" w:rsidRDefault="000A3D1A" w:rsidP="00C80C57">
      <w:pPr>
        <w:pStyle w:val="Paragraphedeliste"/>
        <w:ind w:left="0"/>
        <w:rPr>
          <w:rFonts w:cs="Arial"/>
          <w:sz w:val="22"/>
          <w:u w:val="single"/>
        </w:rPr>
      </w:pPr>
    </w:p>
    <w:p w14:paraId="5EE4AB22" w14:textId="244AE4FE" w:rsidR="000A3D1A" w:rsidRPr="00471E10" w:rsidRDefault="00755DAC" w:rsidP="00C80C57">
      <w:pPr>
        <w:rPr>
          <w:rFonts w:cs="Arial"/>
          <w:b/>
          <w:bCs/>
          <w:sz w:val="22"/>
        </w:rPr>
      </w:pPr>
      <w:r w:rsidRPr="00471E10">
        <w:rPr>
          <w:rFonts w:cs="Arial"/>
          <w:b/>
          <w:bCs/>
          <w:sz w:val="22"/>
        </w:rPr>
        <w:t xml:space="preserve">Comment interpréter l’art. 3 CEDH en matière de soins ? </w:t>
      </w:r>
    </w:p>
    <w:p w14:paraId="05862726" w14:textId="77777777" w:rsidR="000A3D1A" w:rsidRPr="00C80C57" w:rsidRDefault="000A3D1A" w:rsidP="00C80C57">
      <w:pPr>
        <w:pStyle w:val="Paragraphedeliste"/>
        <w:ind w:left="0"/>
        <w:rPr>
          <w:rFonts w:cs="Arial"/>
          <w:sz w:val="22"/>
        </w:rPr>
      </w:pPr>
    </w:p>
    <w:p w14:paraId="4460C020" w14:textId="77777777" w:rsidR="00755DAC" w:rsidRDefault="00755DAC" w:rsidP="00C80C57">
      <w:pPr>
        <w:pStyle w:val="Paragraphedeliste"/>
        <w:ind w:left="0"/>
        <w:rPr>
          <w:rFonts w:cs="Arial"/>
          <w:sz w:val="22"/>
        </w:rPr>
      </w:pPr>
      <w:r>
        <w:rPr>
          <w:rFonts w:cs="Arial"/>
          <w:sz w:val="22"/>
        </w:rPr>
        <w:t>La Cour EDH constate que</w:t>
      </w:r>
    </w:p>
    <w:p w14:paraId="753E5004" w14:textId="4BC9DBDF" w:rsidR="00471E10" w:rsidRPr="00471E10" w:rsidRDefault="00471E10" w:rsidP="00471E10">
      <w:pPr>
        <w:pStyle w:val="Paragraphedeliste"/>
        <w:numPr>
          <w:ilvl w:val="0"/>
          <w:numId w:val="12"/>
        </w:numPr>
        <w:rPr>
          <w:rFonts w:eastAsia="Times New Roman" w:cs="Arial"/>
          <w:sz w:val="22"/>
          <w:lang w:val="fr-CH" w:eastAsia="fr-FR"/>
        </w:rPr>
      </w:pPr>
      <w:r w:rsidRPr="00471E10">
        <w:rPr>
          <w:rFonts w:eastAsia="Times New Roman" w:cs="Arial"/>
          <w:sz w:val="22"/>
          <w:lang w:val="fr-CH" w:eastAsia="fr-FR"/>
        </w:rPr>
        <w:t xml:space="preserve">selon une jurisprudence antérieure, </w:t>
      </w:r>
      <w:r w:rsidR="00755DAC" w:rsidRPr="00471E10">
        <w:rPr>
          <w:rFonts w:eastAsia="Times New Roman" w:cs="Arial"/>
          <w:sz w:val="22"/>
          <w:lang w:val="fr-CH" w:eastAsia="fr-FR"/>
        </w:rPr>
        <w:t xml:space="preserve">le risque de détérioration de l’état de santé d’un étranger atteint d’une grave maladie résultant de l’inexistence de soins adéquats dans </w:t>
      </w:r>
      <w:r w:rsidR="00755DAC" w:rsidRPr="00471E10">
        <w:rPr>
          <w:rFonts w:eastAsia="Times New Roman" w:cs="Arial"/>
          <w:sz w:val="22"/>
          <w:lang w:val="fr-CH" w:eastAsia="fr-FR"/>
        </w:rPr>
        <w:lastRenderedPageBreak/>
        <w:t>son pays de destination ne suffisait pas</w:t>
      </w:r>
      <w:r w:rsidR="00CF3C4C" w:rsidRPr="00471E10">
        <w:rPr>
          <w:rFonts w:eastAsia="Times New Roman" w:cs="Arial"/>
          <w:sz w:val="22"/>
          <w:lang w:val="fr-CH" w:eastAsia="fr-FR"/>
        </w:rPr>
        <w:t xml:space="preserve"> </w:t>
      </w:r>
      <w:r w:rsidR="00755DAC" w:rsidRPr="00471E10">
        <w:rPr>
          <w:rFonts w:eastAsia="Times New Roman" w:cs="Arial"/>
          <w:sz w:val="22"/>
          <w:lang w:val="fr-CH" w:eastAsia="fr-FR"/>
        </w:rPr>
        <w:t xml:space="preserve">à entraîner le bénéfice de la protection subsidiaire, </w:t>
      </w:r>
    </w:p>
    <w:p w14:paraId="306ADEFE" w14:textId="77777777" w:rsidR="00471E10" w:rsidRDefault="00471E10" w:rsidP="00471E10">
      <w:pPr>
        <w:pStyle w:val="Paragraphedeliste"/>
        <w:rPr>
          <w:rFonts w:eastAsia="Times New Roman" w:cs="Arial"/>
          <w:sz w:val="22"/>
          <w:lang w:val="fr-CH" w:eastAsia="fr-FR"/>
        </w:rPr>
      </w:pPr>
    </w:p>
    <w:p w14:paraId="55342821" w14:textId="636B2964" w:rsidR="00471E10" w:rsidRPr="00471E10" w:rsidRDefault="00471E10" w:rsidP="00471E10">
      <w:pPr>
        <w:pStyle w:val="Paragraphedeliste"/>
        <w:numPr>
          <w:ilvl w:val="0"/>
          <w:numId w:val="12"/>
        </w:numPr>
        <w:rPr>
          <w:rFonts w:eastAsia="Times New Roman" w:cs="Arial"/>
          <w:sz w:val="22"/>
          <w:lang w:val="fr-CH" w:eastAsia="fr-FR"/>
        </w:rPr>
      </w:pPr>
      <w:r w:rsidRPr="00471E10">
        <w:rPr>
          <w:rFonts w:eastAsia="Times New Roman" w:cs="Arial"/>
          <w:sz w:val="22"/>
          <w:lang w:val="fr-CH" w:eastAsia="fr-FR"/>
        </w:rPr>
        <w:t>la situation de la Géorgie n’est pas conforme au motif que les paiements directs en général et le coût des médicaments en particulier représentent une charge trop lourde pour les individus et font de ce fait obstacle à l’accès universel aux soins de santé</w:t>
      </w:r>
    </w:p>
    <w:p w14:paraId="76DB46B3" w14:textId="77777777" w:rsidR="00471E10" w:rsidRPr="00471E10" w:rsidRDefault="00471E10" w:rsidP="00471E10">
      <w:pPr>
        <w:pStyle w:val="Paragraphedeliste"/>
        <w:rPr>
          <w:rFonts w:eastAsia="Times New Roman" w:cs="Arial"/>
          <w:sz w:val="22"/>
          <w:lang w:val="fr-CH" w:eastAsia="fr-FR"/>
        </w:rPr>
      </w:pPr>
    </w:p>
    <w:p w14:paraId="6BECEDA0" w14:textId="211FCA9B" w:rsidR="00471E10" w:rsidRDefault="00471E10" w:rsidP="00471E10">
      <w:pPr>
        <w:pStyle w:val="Paragraphedeliste"/>
        <w:numPr>
          <w:ilvl w:val="0"/>
          <w:numId w:val="12"/>
        </w:numPr>
        <w:rPr>
          <w:rFonts w:eastAsia="Times New Roman" w:cs="Arial"/>
          <w:sz w:val="22"/>
          <w:lang w:val="fr-CH" w:eastAsia="fr-FR"/>
        </w:rPr>
      </w:pPr>
      <w:r w:rsidRPr="00471E10">
        <w:rPr>
          <w:rFonts w:eastAsia="Times New Roman" w:cs="Arial"/>
          <w:sz w:val="22"/>
          <w:lang w:val="fr-CH" w:eastAsia="fr-FR"/>
        </w:rPr>
        <w:t>les citoyens qui avaient les moyens étaient encouragés à souscrire des assurances privées et à recourir  aux soins prodigués dans les hôpitaux qui avaient progressivement été privatisés</w:t>
      </w:r>
    </w:p>
    <w:p w14:paraId="5BAC57A7" w14:textId="77777777" w:rsidR="00471E10" w:rsidRPr="00471E10" w:rsidRDefault="00471E10" w:rsidP="00471E10">
      <w:pPr>
        <w:rPr>
          <w:rFonts w:eastAsia="Times New Roman" w:cs="Arial"/>
          <w:sz w:val="22"/>
          <w:lang w:val="fr-CH" w:eastAsia="fr-FR"/>
        </w:rPr>
      </w:pPr>
    </w:p>
    <w:p w14:paraId="6F5B7291" w14:textId="77777777" w:rsidR="00471E10" w:rsidRDefault="00471E10" w:rsidP="00471E10">
      <w:pPr>
        <w:pStyle w:val="Paragraphedeliste"/>
        <w:numPr>
          <w:ilvl w:val="0"/>
          <w:numId w:val="12"/>
        </w:numPr>
        <w:rPr>
          <w:rFonts w:eastAsia="Times New Roman" w:cs="Arial"/>
          <w:sz w:val="22"/>
          <w:lang w:val="fr-CH" w:eastAsia="fr-FR"/>
        </w:rPr>
      </w:pPr>
      <w:r w:rsidRPr="00471E10">
        <w:rPr>
          <w:rFonts w:eastAsia="Times New Roman" w:cs="Arial"/>
          <w:sz w:val="22"/>
          <w:lang w:val="fr-CH" w:eastAsia="fr-FR"/>
        </w:rPr>
        <w:t xml:space="preserve">les catégories les plus pauvres (estimées à 20% de la population) étaient en principe éligibles à la prise en charge dans le cadre d’un programme spécial d’assurance universel destiné à permettre l’accès gratuit aux soins de santé élémentaires. </w:t>
      </w:r>
    </w:p>
    <w:p w14:paraId="1E981AE7" w14:textId="77777777" w:rsidR="00471E10" w:rsidRDefault="00471E10" w:rsidP="00471E10">
      <w:pPr>
        <w:pStyle w:val="Paragraphedeliste"/>
        <w:rPr>
          <w:rFonts w:eastAsia="Times New Roman" w:cs="Arial"/>
          <w:sz w:val="22"/>
          <w:lang w:val="fr-CH" w:eastAsia="fr-FR"/>
        </w:rPr>
      </w:pPr>
    </w:p>
    <w:p w14:paraId="37460EE5" w14:textId="0427B33E" w:rsidR="00471E10" w:rsidRDefault="00471E10" w:rsidP="00471E10">
      <w:pPr>
        <w:pStyle w:val="Paragraphedeliste"/>
        <w:rPr>
          <w:rFonts w:eastAsia="Times New Roman" w:cs="Arial"/>
          <w:sz w:val="22"/>
          <w:lang w:val="fr-CH" w:eastAsia="fr-FR"/>
        </w:rPr>
      </w:pPr>
      <w:r w:rsidRPr="00471E10">
        <w:rPr>
          <w:rFonts w:eastAsia="Times New Roman" w:cs="Arial"/>
          <w:sz w:val="22"/>
          <w:lang w:val="fr-CH" w:eastAsia="fr-FR"/>
        </w:rPr>
        <w:t>Toutefois, de facto, en raison d’un système inefficace d’éligibilité, les soins d’environ la moitié des personnes les plus pauvres n’étaient toujours pas pris en charge. À cela s’ajoutait que l’offre de soins et l’infrastructure pour les catégories les plus pauvres étaient très restreintes.142.Pour le surplus, le requérant estimait que la charge de la preuve de l’accessibilité concrète et réelle aux soins de santé en Géorgie reposait sur les autorités belges dont les moyens d’investigation étaient plus important</w:t>
      </w:r>
      <w:r>
        <w:rPr>
          <w:rFonts w:eastAsia="Times New Roman" w:cs="Arial"/>
          <w:sz w:val="22"/>
          <w:lang w:val="fr-CH" w:eastAsia="fr-FR"/>
        </w:rPr>
        <w:t>s</w:t>
      </w:r>
    </w:p>
    <w:p w14:paraId="02140A53" w14:textId="541CFE76" w:rsidR="00471E10" w:rsidRDefault="00471E10" w:rsidP="00471E10">
      <w:pPr>
        <w:rPr>
          <w:rFonts w:eastAsia="Times New Roman" w:cs="Arial"/>
          <w:sz w:val="22"/>
          <w:lang w:val="fr-CH" w:eastAsia="fr-FR"/>
        </w:rPr>
      </w:pPr>
    </w:p>
    <w:p w14:paraId="227785B3" w14:textId="77777777" w:rsidR="00471E10" w:rsidRPr="00755DAC" w:rsidRDefault="00471E10" w:rsidP="00C80C57">
      <w:pPr>
        <w:pStyle w:val="Paragraphedeliste"/>
        <w:ind w:left="0"/>
        <w:rPr>
          <w:rFonts w:cs="Arial"/>
          <w:sz w:val="22"/>
          <w:lang w:val="fr-CH"/>
        </w:rPr>
      </w:pPr>
    </w:p>
    <w:p w14:paraId="426F67D3" w14:textId="347FCA97" w:rsidR="00471E10" w:rsidRDefault="00471E10" w:rsidP="00471E10">
      <w:pPr>
        <w:pStyle w:val="Paragraphedeliste"/>
        <w:ind w:left="0"/>
        <w:rPr>
          <w:rFonts w:cs="Arial"/>
          <w:sz w:val="22"/>
        </w:rPr>
      </w:pPr>
      <w:r>
        <w:rPr>
          <w:rFonts w:cs="Arial"/>
          <w:sz w:val="22"/>
        </w:rPr>
        <w:t xml:space="preserve">Elle a donc jugé que </w:t>
      </w:r>
      <w:r w:rsidR="000A3D1A" w:rsidRPr="00C80C57">
        <w:rPr>
          <w:rFonts w:cs="Arial"/>
          <w:sz w:val="22"/>
        </w:rPr>
        <w:t xml:space="preserve">le renvoi </w:t>
      </w:r>
      <w:r w:rsidR="000A3D1A" w:rsidRPr="00471E10">
        <w:rPr>
          <w:rFonts w:cs="Arial"/>
          <w:sz w:val="22"/>
        </w:rPr>
        <w:t>ne peut</w:t>
      </w:r>
      <w:r w:rsidR="000A3D1A" w:rsidRPr="00C80C57">
        <w:rPr>
          <w:rFonts w:cs="Arial"/>
          <w:sz w:val="22"/>
        </w:rPr>
        <w:t xml:space="preserve"> avoir lieu lorsque</w:t>
      </w:r>
    </w:p>
    <w:p w14:paraId="3014CD0A" w14:textId="5F49CFCD" w:rsidR="00471E10" w:rsidRDefault="00471E10" w:rsidP="00471E10">
      <w:pPr>
        <w:pStyle w:val="Paragraphedeliste"/>
        <w:numPr>
          <w:ilvl w:val="0"/>
          <w:numId w:val="13"/>
        </w:numPr>
        <w:rPr>
          <w:rFonts w:cs="Arial"/>
          <w:b/>
          <w:bCs/>
          <w:sz w:val="22"/>
        </w:rPr>
      </w:pPr>
      <w:r>
        <w:rPr>
          <w:rFonts w:cs="Arial"/>
          <w:sz w:val="22"/>
        </w:rPr>
        <w:t>l</w:t>
      </w:r>
      <w:r w:rsidR="000A3D1A" w:rsidRPr="00471E10">
        <w:rPr>
          <w:rFonts w:cs="Arial"/>
          <w:sz w:val="22"/>
        </w:rPr>
        <w:t xml:space="preserve">a maladie du requérant a atteint un stade critique </w:t>
      </w:r>
      <w:r w:rsidR="000A3D1A" w:rsidRPr="00471E10">
        <w:rPr>
          <w:rFonts w:cs="Arial"/>
          <w:b/>
          <w:bCs/>
          <w:sz w:val="22"/>
        </w:rPr>
        <w:t>et</w:t>
      </w:r>
    </w:p>
    <w:p w14:paraId="7D177349" w14:textId="2562EDCE" w:rsidR="000A3D1A" w:rsidRPr="00471E10" w:rsidRDefault="00471E10" w:rsidP="00471E10">
      <w:pPr>
        <w:pStyle w:val="Paragraphedeliste"/>
        <w:numPr>
          <w:ilvl w:val="0"/>
          <w:numId w:val="13"/>
        </w:numPr>
        <w:rPr>
          <w:rFonts w:cs="Arial"/>
          <w:sz w:val="22"/>
        </w:rPr>
      </w:pPr>
      <w:r w:rsidRPr="00471E10">
        <w:rPr>
          <w:rFonts w:cs="Arial"/>
          <w:b/>
          <w:bCs/>
          <w:sz w:val="22"/>
        </w:rPr>
        <w:t>l</w:t>
      </w:r>
      <w:r w:rsidR="000A3D1A" w:rsidRPr="00471E10">
        <w:rPr>
          <w:rFonts w:cs="Arial"/>
          <w:sz w:val="22"/>
        </w:rPr>
        <w:t xml:space="preserve">e renvoi impliquerait un déclin grave, rapide et irréversible de </w:t>
      </w:r>
      <w:r w:rsidR="00356291" w:rsidRPr="00471E10">
        <w:rPr>
          <w:rFonts w:cs="Arial"/>
          <w:sz w:val="22"/>
        </w:rPr>
        <w:t xml:space="preserve">son </w:t>
      </w:r>
      <w:r w:rsidR="000A3D1A" w:rsidRPr="00471E10">
        <w:rPr>
          <w:rFonts w:cs="Arial"/>
          <w:sz w:val="22"/>
        </w:rPr>
        <w:t>état de santé</w:t>
      </w:r>
    </w:p>
    <w:p w14:paraId="07AEAE49" w14:textId="77777777" w:rsidR="000A3D1A" w:rsidRPr="00C80C57" w:rsidRDefault="000A3D1A" w:rsidP="00C80C57">
      <w:pPr>
        <w:pStyle w:val="Paragraphedeliste"/>
        <w:ind w:left="0"/>
        <w:rPr>
          <w:rFonts w:cs="Arial"/>
          <w:sz w:val="22"/>
        </w:rPr>
      </w:pPr>
    </w:p>
    <w:p w14:paraId="6C83DD89" w14:textId="19D6BD45" w:rsidR="000A3D1A" w:rsidRPr="00C80C57" w:rsidRDefault="000A3D1A" w:rsidP="00C80C57">
      <w:pPr>
        <w:rPr>
          <w:rFonts w:cs="Arial"/>
          <w:sz w:val="22"/>
        </w:rPr>
      </w:pPr>
    </w:p>
    <w:p w14:paraId="64514A8E" w14:textId="78C788D4" w:rsidR="000A3D1A" w:rsidRPr="00471E10" w:rsidRDefault="00471E10" w:rsidP="00471E10">
      <w:pPr>
        <w:pStyle w:val="Paragraphedeliste"/>
        <w:numPr>
          <w:ilvl w:val="0"/>
          <w:numId w:val="10"/>
        </w:numPr>
        <w:rPr>
          <w:rFonts w:cs="Arial"/>
          <w:b/>
          <w:bCs/>
          <w:sz w:val="22"/>
        </w:rPr>
      </w:pPr>
      <w:r w:rsidRPr="00471E10">
        <w:rPr>
          <w:rFonts w:cs="Arial"/>
          <w:b/>
          <w:bCs/>
          <w:sz w:val="22"/>
        </w:rPr>
        <w:t>Aspect</w:t>
      </w:r>
      <w:r>
        <w:rPr>
          <w:rFonts w:cs="Arial"/>
          <w:b/>
          <w:bCs/>
          <w:sz w:val="22"/>
        </w:rPr>
        <w:t>s</w:t>
      </w:r>
      <w:r w:rsidRPr="00471E10">
        <w:rPr>
          <w:rFonts w:cs="Arial"/>
          <w:b/>
          <w:bCs/>
          <w:sz w:val="22"/>
        </w:rPr>
        <w:t xml:space="preserve"> novateur</w:t>
      </w:r>
      <w:r>
        <w:rPr>
          <w:rFonts w:cs="Arial"/>
          <w:b/>
          <w:bCs/>
          <w:sz w:val="22"/>
        </w:rPr>
        <w:t>s</w:t>
      </w:r>
      <w:r w:rsidRPr="00471E10">
        <w:rPr>
          <w:rFonts w:cs="Arial"/>
          <w:b/>
          <w:bCs/>
          <w:sz w:val="22"/>
        </w:rPr>
        <w:t xml:space="preserve"> de l’arrêt</w:t>
      </w:r>
    </w:p>
    <w:p w14:paraId="1DA60B72" w14:textId="77777777" w:rsidR="000A3D1A" w:rsidRPr="00C80C57" w:rsidRDefault="000A3D1A" w:rsidP="00C80C57">
      <w:pPr>
        <w:pStyle w:val="Paragraphedeliste"/>
        <w:ind w:left="-142" w:right="-284"/>
        <w:rPr>
          <w:rFonts w:cs="Arial"/>
          <w:sz w:val="22"/>
        </w:rPr>
      </w:pPr>
    </w:p>
    <w:p w14:paraId="0611D06F" w14:textId="4CE88EE2" w:rsidR="000A3D1A" w:rsidRPr="00C80C57" w:rsidRDefault="000A3D1A" w:rsidP="00471E10">
      <w:pPr>
        <w:pStyle w:val="Paragraphedeliste"/>
        <w:numPr>
          <w:ilvl w:val="0"/>
          <w:numId w:val="14"/>
        </w:numPr>
        <w:rPr>
          <w:rFonts w:cs="Arial"/>
          <w:b/>
          <w:bCs/>
          <w:sz w:val="22"/>
        </w:rPr>
      </w:pPr>
      <w:r w:rsidRPr="00C80C57">
        <w:rPr>
          <w:rFonts w:cs="Arial"/>
          <w:b/>
          <w:bCs/>
          <w:i/>
          <w:iCs/>
          <w:sz w:val="22"/>
        </w:rPr>
        <w:t>L’imminence</w:t>
      </w:r>
      <w:r w:rsidRPr="00C80C57">
        <w:rPr>
          <w:rFonts w:cs="Arial"/>
          <w:b/>
          <w:bCs/>
          <w:sz w:val="22"/>
        </w:rPr>
        <w:t xml:space="preserve"> du risque de décès n’est plus requise pour justifier un renvoi </w:t>
      </w:r>
    </w:p>
    <w:p w14:paraId="4197FA3E" w14:textId="77777777" w:rsidR="000A3D1A" w:rsidRPr="00C80C57" w:rsidRDefault="000A3D1A" w:rsidP="00C80C57">
      <w:pPr>
        <w:rPr>
          <w:rFonts w:cs="Arial"/>
          <w:sz w:val="22"/>
        </w:rPr>
      </w:pPr>
    </w:p>
    <w:p w14:paraId="7E6803D9" w14:textId="77777777" w:rsidR="000A3D1A" w:rsidRPr="00C80C57" w:rsidRDefault="000A3D1A" w:rsidP="00C80C57">
      <w:pPr>
        <w:rPr>
          <w:rFonts w:cs="Arial"/>
          <w:sz w:val="22"/>
        </w:rPr>
      </w:pPr>
      <w:r w:rsidRPr="00C80C57">
        <w:rPr>
          <w:rFonts w:cs="Arial"/>
          <w:sz w:val="22"/>
        </w:rPr>
        <w:t xml:space="preserve">L’arrêt </w:t>
      </w:r>
      <w:proofErr w:type="spellStart"/>
      <w:r w:rsidRPr="00C80C57">
        <w:rPr>
          <w:rFonts w:cs="Arial"/>
          <w:i/>
          <w:iCs/>
          <w:sz w:val="22"/>
        </w:rPr>
        <w:t>Paposhvili</w:t>
      </w:r>
      <w:proofErr w:type="spellEnd"/>
      <w:r w:rsidRPr="00C80C57">
        <w:rPr>
          <w:rFonts w:cs="Arial"/>
          <w:sz w:val="22"/>
        </w:rPr>
        <w:t xml:space="preserve"> (2016) </w:t>
      </w:r>
      <w:r w:rsidRPr="00C80C57">
        <w:rPr>
          <w:rFonts w:cs="Arial"/>
          <w:b/>
          <w:bCs/>
          <w:sz w:val="22"/>
        </w:rPr>
        <w:t>abaisse</w:t>
      </w:r>
      <w:r w:rsidRPr="00C80C57">
        <w:rPr>
          <w:rFonts w:cs="Arial"/>
          <w:sz w:val="22"/>
        </w:rPr>
        <w:t xml:space="preserve"> ce seuil en évoquant une </w:t>
      </w:r>
      <w:r w:rsidRPr="00C80C57">
        <w:rPr>
          <w:rFonts w:cs="Arial"/>
          <w:b/>
          <w:bCs/>
          <w:i/>
          <w:iCs/>
          <w:sz w:val="22"/>
        </w:rPr>
        <w:t>réduction significative de l’espérance de vie</w:t>
      </w:r>
      <w:r w:rsidRPr="00C80C57">
        <w:rPr>
          <w:rFonts w:cs="Arial"/>
          <w:sz w:val="22"/>
        </w:rPr>
        <w:t xml:space="preserve"> et accorde une place plus importante à la </w:t>
      </w:r>
      <w:r w:rsidRPr="00C80C57">
        <w:rPr>
          <w:rFonts w:cs="Arial"/>
          <w:b/>
          <w:bCs/>
          <w:i/>
          <w:iCs/>
          <w:sz w:val="22"/>
        </w:rPr>
        <w:t>souffrance intense</w:t>
      </w:r>
      <w:r w:rsidRPr="00C80C57">
        <w:rPr>
          <w:rFonts w:cs="Arial"/>
          <w:sz w:val="22"/>
        </w:rPr>
        <w:t>.</w:t>
      </w:r>
    </w:p>
    <w:p w14:paraId="7768882D" w14:textId="4ECD209A" w:rsidR="000A3D1A" w:rsidRDefault="000A3D1A" w:rsidP="00C80C57">
      <w:pPr>
        <w:ind w:left="-142"/>
        <w:rPr>
          <w:rFonts w:cs="Arial"/>
          <w:sz w:val="22"/>
        </w:rPr>
      </w:pPr>
    </w:p>
    <w:p w14:paraId="2E6898BA" w14:textId="77777777" w:rsidR="00471E10" w:rsidRPr="00C80C57" w:rsidRDefault="00471E10" w:rsidP="00C80C57">
      <w:pPr>
        <w:ind w:left="-142"/>
        <w:rPr>
          <w:rFonts w:cs="Arial"/>
          <w:sz w:val="22"/>
        </w:rPr>
      </w:pPr>
    </w:p>
    <w:p w14:paraId="298378F2" w14:textId="57564C09" w:rsidR="000A3D1A" w:rsidRDefault="000A3D1A" w:rsidP="00471E10">
      <w:pPr>
        <w:pStyle w:val="Paragraphedeliste"/>
        <w:numPr>
          <w:ilvl w:val="0"/>
          <w:numId w:val="14"/>
        </w:numPr>
        <w:rPr>
          <w:rFonts w:cs="Arial"/>
          <w:b/>
          <w:bCs/>
          <w:sz w:val="22"/>
        </w:rPr>
      </w:pPr>
      <w:r w:rsidRPr="00C80C57">
        <w:rPr>
          <w:rFonts w:cs="Arial"/>
          <w:b/>
          <w:bCs/>
          <w:sz w:val="22"/>
        </w:rPr>
        <w:t>L’examen de l’offre de soins dans le pays destination</w:t>
      </w:r>
    </w:p>
    <w:p w14:paraId="24AFD93A" w14:textId="77777777" w:rsidR="00471E10" w:rsidRPr="00471E10" w:rsidRDefault="00471E10" w:rsidP="00471E10">
      <w:pPr>
        <w:rPr>
          <w:rFonts w:cs="Arial"/>
          <w:b/>
          <w:bCs/>
          <w:sz w:val="22"/>
        </w:rPr>
      </w:pPr>
    </w:p>
    <w:p w14:paraId="33C3A93E" w14:textId="0724AEAD" w:rsidR="000A3D1A" w:rsidRPr="00C80C57" w:rsidRDefault="000A3D1A" w:rsidP="00C80C57">
      <w:pPr>
        <w:pStyle w:val="Paragraphedeliste"/>
        <w:ind w:left="0"/>
        <w:rPr>
          <w:rFonts w:cs="Arial"/>
          <w:sz w:val="22"/>
        </w:rPr>
      </w:pPr>
      <w:r w:rsidRPr="00C80C57">
        <w:rPr>
          <w:rFonts w:cs="Arial"/>
          <w:sz w:val="22"/>
        </w:rPr>
        <w:t xml:space="preserve">Dans cet arrêt elle parle de </w:t>
      </w:r>
      <w:r w:rsidRPr="00C80C57">
        <w:rPr>
          <w:rFonts w:cs="Arial"/>
          <w:b/>
          <w:bCs/>
          <w:i/>
          <w:iCs/>
          <w:sz w:val="22"/>
        </w:rPr>
        <w:t>soins suffisants</w:t>
      </w:r>
      <w:r w:rsidRPr="00C80C57">
        <w:rPr>
          <w:rFonts w:cs="Arial"/>
          <w:sz w:val="22"/>
        </w:rPr>
        <w:t xml:space="preserve"> et </w:t>
      </w:r>
      <w:r w:rsidRPr="00C80C57">
        <w:rPr>
          <w:rFonts w:cs="Arial"/>
          <w:b/>
          <w:bCs/>
          <w:i/>
          <w:iCs/>
          <w:sz w:val="22"/>
        </w:rPr>
        <w:t>adéquats</w:t>
      </w:r>
      <w:r w:rsidRPr="00C80C57">
        <w:rPr>
          <w:rFonts w:cs="Arial"/>
          <w:sz w:val="22"/>
        </w:rPr>
        <w:t xml:space="preserve"> mais ne les décri</w:t>
      </w:r>
      <w:r w:rsidR="00471E10">
        <w:rPr>
          <w:rFonts w:cs="Arial"/>
          <w:sz w:val="22"/>
        </w:rPr>
        <w:t>t</w:t>
      </w:r>
      <w:r w:rsidRPr="00C80C57">
        <w:rPr>
          <w:rFonts w:cs="Arial"/>
          <w:sz w:val="22"/>
        </w:rPr>
        <w:t xml:space="preserve"> pas plus.</w:t>
      </w:r>
    </w:p>
    <w:p w14:paraId="74407461" w14:textId="092D4563" w:rsidR="000A3D1A" w:rsidRDefault="000A3D1A" w:rsidP="00C80C57">
      <w:pPr>
        <w:pStyle w:val="Paragraphedeliste"/>
        <w:ind w:left="-142"/>
        <w:rPr>
          <w:rFonts w:cs="Arial"/>
          <w:sz w:val="22"/>
        </w:rPr>
      </w:pPr>
    </w:p>
    <w:p w14:paraId="28CBAD19" w14:textId="77777777" w:rsidR="00471E10" w:rsidRPr="00C80C57" w:rsidRDefault="00471E10" w:rsidP="00C80C57">
      <w:pPr>
        <w:pStyle w:val="Paragraphedeliste"/>
        <w:ind w:left="-142"/>
        <w:rPr>
          <w:rFonts w:cs="Arial"/>
          <w:sz w:val="22"/>
        </w:rPr>
      </w:pPr>
    </w:p>
    <w:p w14:paraId="72493EA8" w14:textId="1954DFAA" w:rsidR="000A3D1A" w:rsidRPr="00471E10" w:rsidRDefault="00471E10" w:rsidP="00471E10">
      <w:pPr>
        <w:pStyle w:val="Paragraphedeliste"/>
        <w:numPr>
          <w:ilvl w:val="0"/>
          <w:numId w:val="14"/>
        </w:numPr>
        <w:rPr>
          <w:rFonts w:cs="Arial"/>
          <w:sz w:val="22"/>
          <w:u w:val="single"/>
        </w:rPr>
      </w:pPr>
      <w:r w:rsidRPr="00471E10">
        <w:rPr>
          <w:rFonts w:cs="Arial"/>
          <w:b/>
          <w:bCs/>
          <w:sz w:val="22"/>
        </w:rPr>
        <w:t>L</w:t>
      </w:r>
      <w:r w:rsidR="000A3D1A" w:rsidRPr="00471E10">
        <w:rPr>
          <w:rFonts w:cs="Arial"/>
          <w:b/>
          <w:bCs/>
          <w:sz w:val="22"/>
        </w:rPr>
        <w:t xml:space="preserve">’examen de l’accès effectif aux soins dans le pays de destination </w:t>
      </w:r>
    </w:p>
    <w:p w14:paraId="665BCE5C" w14:textId="77777777" w:rsidR="00471E10" w:rsidRPr="00471E10" w:rsidRDefault="00471E10" w:rsidP="00471E10">
      <w:pPr>
        <w:pStyle w:val="Paragraphedeliste"/>
        <w:ind w:left="-142"/>
        <w:rPr>
          <w:rFonts w:cs="Arial"/>
          <w:sz w:val="22"/>
          <w:u w:val="single"/>
        </w:rPr>
      </w:pPr>
    </w:p>
    <w:p w14:paraId="5A14B0FF" w14:textId="625C4440" w:rsidR="000A3D1A" w:rsidRDefault="000A3D1A" w:rsidP="00C80C57">
      <w:pPr>
        <w:pStyle w:val="Paragraphedeliste"/>
        <w:ind w:left="0"/>
        <w:rPr>
          <w:rFonts w:cs="Arial"/>
          <w:sz w:val="22"/>
        </w:rPr>
      </w:pPr>
      <w:r w:rsidRPr="00C80C57">
        <w:rPr>
          <w:rFonts w:cs="Arial"/>
          <w:sz w:val="22"/>
        </w:rPr>
        <w:t xml:space="preserve">Jusqu’à l’arrêt </w:t>
      </w:r>
      <w:proofErr w:type="spellStart"/>
      <w:r w:rsidRPr="00C80C57">
        <w:rPr>
          <w:rFonts w:cs="Arial"/>
          <w:sz w:val="22"/>
        </w:rPr>
        <w:t>Paposhvili</w:t>
      </w:r>
      <w:proofErr w:type="spellEnd"/>
      <w:r w:rsidRPr="00C80C57">
        <w:rPr>
          <w:rFonts w:cs="Arial"/>
          <w:sz w:val="22"/>
        </w:rPr>
        <w:t xml:space="preserve"> la Cour évoquait</w:t>
      </w:r>
      <w:r w:rsidR="00471E10">
        <w:rPr>
          <w:rFonts w:cs="Arial"/>
          <w:sz w:val="22"/>
        </w:rPr>
        <w:t xml:space="preserve"> la question du financement des soins, la longueur du trajet pour se rendre dans un hôpital par exemple </w:t>
      </w:r>
      <w:r w:rsidRPr="00C80C57">
        <w:rPr>
          <w:rFonts w:cs="Arial"/>
          <w:b/>
          <w:bCs/>
          <w:sz w:val="22"/>
        </w:rPr>
        <w:t>sans</w:t>
      </w:r>
      <w:r w:rsidRPr="00C80C57">
        <w:rPr>
          <w:rFonts w:cs="Arial"/>
          <w:sz w:val="22"/>
        </w:rPr>
        <w:t xml:space="preserve"> procéder à un examen détaillé de ces questions.</w:t>
      </w:r>
    </w:p>
    <w:p w14:paraId="08B33188" w14:textId="77777777" w:rsidR="00471E10" w:rsidRPr="00C80C57" w:rsidRDefault="00471E10" w:rsidP="00C80C57">
      <w:pPr>
        <w:pStyle w:val="Paragraphedeliste"/>
        <w:ind w:left="0"/>
        <w:rPr>
          <w:rFonts w:cs="Arial"/>
          <w:sz w:val="22"/>
        </w:rPr>
      </w:pPr>
    </w:p>
    <w:p w14:paraId="5DC68DA1" w14:textId="68153121" w:rsidR="00471E10" w:rsidRPr="00471E10" w:rsidRDefault="00471E10" w:rsidP="00471E10">
      <w:pPr>
        <w:rPr>
          <w:rFonts w:eastAsia="Times New Roman" w:cs="Arial"/>
          <w:b/>
          <w:bCs/>
          <w:sz w:val="22"/>
          <w:lang w:val="fr-CH" w:eastAsia="fr-FR"/>
        </w:rPr>
      </w:pPr>
      <w:r>
        <w:rPr>
          <w:rFonts w:eastAsia="Times New Roman" w:cs="Arial"/>
          <w:sz w:val="22"/>
          <w:lang w:val="fr-CH" w:eastAsia="fr-FR"/>
        </w:rPr>
        <w:t>La Cour estime qu’il</w:t>
      </w:r>
      <w:r w:rsidRPr="00471E10">
        <w:rPr>
          <w:rFonts w:eastAsia="Times New Roman" w:cs="Arial"/>
          <w:sz w:val="22"/>
          <w:lang w:val="fr-CH" w:eastAsia="fr-FR"/>
        </w:rPr>
        <w:t xml:space="preserve"> appartenait aux autorités belges de s’enquérir et de s’assurer au préalable de la manière dont les autorités géorgiennes pouvaient effectivement et concrètement garantir les soins de santé dont le requérant avait besoin pour sa survie et le traitement de sa maladie conformément à la dignité humaine. </w:t>
      </w:r>
      <w:r w:rsidRPr="00471E10">
        <w:rPr>
          <w:rFonts w:eastAsia="Times New Roman" w:cs="Arial"/>
          <w:b/>
          <w:bCs/>
          <w:sz w:val="22"/>
          <w:lang w:val="fr-CH" w:eastAsia="fr-FR"/>
        </w:rPr>
        <w:t>L’accès aux soins ne devait en effet pas être théorique mais réel et garanti</w:t>
      </w:r>
      <w:r>
        <w:rPr>
          <w:rFonts w:eastAsia="Times New Roman" w:cs="Arial"/>
          <w:b/>
          <w:bCs/>
          <w:sz w:val="22"/>
          <w:lang w:val="fr-CH" w:eastAsia="fr-FR"/>
        </w:rPr>
        <w:t>.</w:t>
      </w:r>
    </w:p>
    <w:p w14:paraId="4F1D1B5C" w14:textId="0411BC67" w:rsidR="00D36ACC" w:rsidRDefault="00D36ACC">
      <w:pPr>
        <w:rPr>
          <w:rFonts w:cs="Arial"/>
          <w:sz w:val="22"/>
        </w:rPr>
      </w:pPr>
      <w:r>
        <w:rPr>
          <w:rFonts w:cs="Arial"/>
          <w:sz w:val="22"/>
        </w:rPr>
        <w:br w:type="page"/>
      </w:r>
    </w:p>
    <w:p w14:paraId="2F54570E" w14:textId="77777777" w:rsidR="00D36ACC" w:rsidRPr="00C80C57" w:rsidRDefault="00D36ACC" w:rsidP="00D36ACC">
      <w:pPr>
        <w:rPr>
          <w:rFonts w:cs="Arial"/>
          <w:b/>
          <w:bCs/>
          <w:caps/>
          <w:sz w:val="22"/>
        </w:rPr>
      </w:pPr>
      <w:r w:rsidRPr="00C80C57">
        <w:rPr>
          <w:rFonts w:cs="Arial"/>
          <w:b/>
          <w:bCs/>
          <w:caps/>
          <w:sz w:val="22"/>
        </w:rPr>
        <w:lastRenderedPageBreak/>
        <w:t xml:space="preserve">Droit à la sante et migration </w:t>
      </w:r>
    </w:p>
    <w:p w14:paraId="519C7A25" w14:textId="77777777" w:rsidR="00D36ACC" w:rsidRPr="00C80C57" w:rsidRDefault="00D36ACC" w:rsidP="00D36ACC">
      <w:pPr>
        <w:rPr>
          <w:rFonts w:cs="Arial"/>
          <w:sz w:val="22"/>
        </w:rPr>
      </w:pPr>
    </w:p>
    <w:p w14:paraId="7B06B0E9" w14:textId="6F1930E3" w:rsidR="00D36ACC" w:rsidRPr="00C80C57" w:rsidRDefault="00D36ACC" w:rsidP="00D36ACC">
      <w:pPr>
        <w:pBdr>
          <w:bottom w:val="single" w:sz="12" w:space="1" w:color="auto"/>
        </w:pBdr>
        <w:rPr>
          <w:rFonts w:cs="Arial"/>
          <w:b/>
          <w:bCs/>
          <w:smallCaps/>
          <w:sz w:val="22"/>
        </w:rPr>
      </w:pPr>
      <w:r>
        <w:rPr>
          <w:rFonts w:cs="Arial"/>
          <w:b/>
          <w:bCs/>
          <w:smallCaps/>
          <w:sz w:val="22"/>
        </w:rPr>
        <w:t>Trois types de législations sont déterminants en santé et migration : lesquels et quels sont les buts principaux ? Illustrez cette question par rapport à l’accès aux soins des requérants d’asile en centre d’hébergement en faisant ressortir d’éventuelles restrictions aux soins</w:t>
      </w:r>
    </w:p>
    <w:p w14:paraId="37756FF2" w14:textId="192149F6" w:rsidR="00C80C57" w:rsidRDefault="00C80C57">
      <w:pPr>
        <w:rPr>
          <w:rFonts w:cs="Arial"/>
          <w:sz w:val="22"/>
        </w:rPr>
      </w:pPr>
    </w:p>
    <w:p w14:paraId="2D1F23EE" w14:textId="6D8D4253" w:rsidR="005A0182" w:rsidRDefault="005A0182">
      <w:pPr>
        <w:rPr>
          <w:rFonts w:cs="Arial"/>
          <w:sz w:val="22"/>
        </w:rPr>
      </w:pPr>
      <w:r>
        <w:rPr>
          <w:rFonts w:cs="Arial"/>
          <w:sz w:val="22"/>
        </w:rPr>
        <w:t>Chaque pays possède trois types de législations qui touchent à la santé et aux migrations, ces législations se chevauchant tout en poursuivant des buts différents</w:t>
      </w:r>
      <w:r w:rsidR="00EF5EFA">
        <w:rPr>
          <w:rFonts w:cs="Arial"/>
          <w:sz w:val="22"/>
        </w:rPr>
        <w:t xml:space="preserve">, qu’on peut résumer par </w:t>
      </w:r>
    </w:p>
    <w:p w14:paraId="5F366BED" w14:textId="520CAA78" w:rsidR="00EF5EFA" w:rsidRDefault="00EF5EFA" w:rsidP="00EF5EFA">
      <w:pPr>
        <w:pStyle w:val="Paragraphedeliste"/>
        <w:numPr>
          <w:ilvl w:val="0"/>
          <w:numId w:val="12"/>
        </w:numPr>
        <w:rPr>
          <w:rFonts w:cs="Arial"/>
          <w:sz w:val="22"/>
        </w:rPr>
      </w:pPr>
      <w:r>
        <w:rPr>
          <w:rFonts w:cs="Arial"/>
          <w:sz w:val="22"/>
        </w:rPr>
        <w:t xml:space="preserve">Contrôle du flux migratoire (LEI, </w:t>
      </w:r>
      <w:proofErr w:type="spellStart"/>
      <w:r>
        <w:rPr>
          <w:rFonts w:cs="Arial"/>
          <w:sz w:val="22"/>
        </w:rPr>
        <w:t>LAsi</w:t>
      </w:r>
      <w:proofErr w:type="spellEnd"/>
      <w:r>
        <w:rPr>
          <w:rFonts w:cs="Arial"/>
          <w:sz w:val="22"/>
        </w:rPr>
        <w:t>)</w:t>
      </w:r>
    </w:p>
    <w:p w14:paraId="6E5432DA" w14:textId="2E1A7B01" w:rsidR="00EF5EFA" w:rsidRDefault="00EF5EFA" w:rsidP="00EF5EFA">
      <w:pPr>
        <w:pStyle w:val="Paragraphedeliste"/>
        <w:numPr>
          <w:ilvl w:val="0"/>
          <w:numId w:val="12"/>
        </w:numPr>
        <w:rPr>
          <w:rFonts w:cs="Arial"/>
          <w:sz w:val="22"/>
        </w:rPr>
      </w:pPr>
      <w:r>
        <w:rPr>
          <w:rFonts w:cs="Arial"/>
          <w:sz w:val="22"/>
        </w:rPr>
        <w:t>Protection de la santé publique (</w:t>
      </w:r>
      <w:proofErr w:type="spellStart"/>
      <w:r>
        <w:rPr>
          <w:rFonts w:cs="Arial"/>
          <w:sz w:val="22"/>
        </w:rPr>
        <w:t>LEp</w:t>
      </w:r>
      <w:proofErr w:type="spellEnd"/>
      <w:r>
        <w:rPr>
          <w:rFonts w:cs="Arial"/>
          <w:sz w:val="22"/>
        </w:rPr>
        <w:t>)</w:t>
      </w:r>
    </w:p>
    <w:p w14:paraId="0A4167E4" w14:textId="53227317" w:rsidR="00EF5EFA" w:rsidRPr="00EF5EFA" w:rsidRDefault="00EF5EFA" w:rsidP="00EF5EFA">
      <w:pPr>
        <w:pStyle w:val="Paragraphedeliste"/>
        <w:numPr>
          <w:ilvl w:val="0"/>
          <w:numId w:val="12"/>
        </w:numPr>
        <w:rPr>
          <w:rFonts w:cs="Arial"/>
          <w:sz w:val="22"/>
        </w:rPr>
      </w:pPr>
      <w:r>
        <w:rPr>
          <w:rFonts w:cs="Arial"/>
          <w:sz w:val="22"/>
        </w:rPr>
        <w:t>Protection de la santé individuelle (</w:t>
      </w:r>
      <w:proofErr w:type="spellStart"/>
      <w:r>
        <w:rPr>
          <w:rFonts w:cs="Arial"/>
          <w:sz w:val="22"/>
        </w:rPr>
        <w:t>LAMal</w:t>
      </w:r>
      <w:proofErr w:type="spellEnd"/>
      <w:r>
        <w:rPr>
          <w:rFonts w:cs="Arial"/>
          <w:sz w:val="22"/>
        </w:rPr>
        <w:t>, droit cantonal)</w:t>
      </w:r>
    </w:p>
    <w:p w14:paraId="13A8E99E" w14:textId="32495A4D" w:rsidR="005A0182" w:rsidRDefault="005A0182" w:rsidP="005A0182">
      <w:pPr>
        <w:rPr>
          <w:rFonts w:cs="Arial"/>
          <w:sz w:val="22"/>
        </w:rPr>
      </w:pPr>
    </w:p>
    <w:p w14:paraId="3FFCBDCB" w14:textId="3F07172C" w:rsidR="005A0182" w:rsidRDefault="005A0182" w:rsidP="005A0182">
      <w:pPr>
        <w:rPr>
          <w:rFonts w:cs="Arial"/>
          <w:sz w:val="22"/>
        </w:rPr>
      </w:pPr>
      <w:r>
        <w:rPr>
          <w:rFonts w:cs="Arial"/>
          <w:sz w:val="22"/>
        </w:rPr>
        <w:t xml:space="preserve">Dans le but de contrôler </w:t>
      </w:r>
      <w:r w:rsidRPr="005A0182">
        <w:rPr>
          <w:rFonts w:cs="Arial"/>
          <w:b/>
          <w:bCs/>
          <w:sz w:val="22"/>
        </w:rPr>
        <w:t>l’immigration</w:t>
      </w:r>
      <w:r>
        <w:rPr>
          <w:rFonts w:cs="Arial"/>
          <w:sz w:val="22"/>
        </w:rPr>
        <w:t xml:space="preserve">, deux textes sont principaux en Suisse : </w:t>
      </w:r>
    </w:p>
    <w:p w14:paraId="0E10C75B" w14:textId="77777777" w:rsidR="005A0182" w:rsidRDefault="005A0182" w:rsidP="005A0182">
      <w:pPr>
        <w:rPr>
          <w:rFonts w:cs="Arial"/>
          <w:sz w:val="22"/>
        </w:rPr>
      </w:pPr>
    </w:p>
    <w:p w14:paraId="1EB4C030" w14:textId="449A4460" w:rsidR="005A0182" w:rsidRDefault="005A0182" w:rsidP="005A0182">
      <w:pPr>
        <w:pStyle w:val="Paragraphedeliste"/>
        <w:numPr>
          <w:ilvl w:val="0"/>
          <w:numId w:val="17"/>
        </w:numPr>
        <w:rPr>
          <w:rFonts w:cs="Arial"/>
          <w:sz w:val="22"/>
        </w:rPr>
      </w:pPr>
      <w:r>
        <w:rPr>
          <w:rFonts w:cs="Arial"/>
          <w:sz w:val="22"/>
        </w:rPr>
        <w:t xml:space="preserve">la </w:t>
      </w:r>
      <w:r w:rsidRPr="00167B56">
        <w:rPr>
          <w:rFonts w:cs="Arial"/>
          <w:b/>
          <w:bCs/>
          <w:sz w:val="22"/>
        </w:rPr>
        <w:t>loi sur les étrangers et l’intégration</w:t>
      </w:r>
      <w:r>
        <w:rPr>
          <w:rFonts w:cs="Arial"/>
          <w:sz w:val="22"/>
        </w:rPr>
        <w:t xml:space="preserve"> (dite la LEI)</w:t>
      </w:r>
    </w:p>
    <w:p w14:paraId="6C024BA6" w14:textId="7E453742" w:rsidR="005A0182" w:rsidRDefault="005A0182" w:rsidP="005A0182">
      <w:pPr>
        <w:pStyle w:val="Paragraphedeliste"/>
        <w:numPr>
          <w:ilvl w:val="0"/>
          <w:numId w:val="17"/>
        </w:numPr>
        <w:rPr>
          <w:rFonts w:cs="Arial"/>
          <w:sz w:val="22"/>
        </w:rPr>
      </w:pPr>
      <w:r>
        <w:rPr>
          <w:rFonts w:cs="Arial"/>
          <w:sz w:val="22"/>
        </w:rPr>
        <w:t xml:space="preserve">la </w:t>
      </w:r>
      <w:r w:rsidRPr="00167B56">
        <w:rPr>
          <w:rFonts w:cs="Arial"/>
          <w:b/>
          <w:bCs/>
          <w:sz w:val="22"/>
        </w:rPr>
        <w:t>loi sur l’asile</w:t>
      </w:r>
      <w:r>
        <w:rPr>
          <w:rFonts w:cs="Arial"/>
          <w:sz w:val="22"/>
        </w:rPr>
        <w:t xml:space="preserve"> (dite la </w:t>
      </w:r>
      <w:proofErr w:type="spellStart"/>
      <w:r>
        <w:rPr>
          <w:rFonts w:cs="Arial"/>
          <w:sz w:val="22"/>
        </w:rPr>
        <w:t>LAsi</w:t>
      </w:r>
      <w:proofErr w:type="spellEnd"/>
      <w:r>
        <w:rPr>
          <w:rFonts w:cs="Arial"/>
          <w:sz w:val="22"/>
        </w:rPr>
        <w:t>)</w:t>
      </w:r>
    </w:p>
    <w:p w14:paraId="3C4A61EC" w14:textId="77777777" w:rsidR="005A0182" w:rsidRPr="005A0182" w:rsidRDefault="005A0182" w:rsidP="005A0182">
      <w:pPr>
        <w:rPr>
          <w:rFonts w:cs="Arial"/>
          <w:sz w:val="22"/>
        </w:rPr>
      </w:pPr>
    </w:p>
    <w:p w14:paraId="58B853B6" w14:textId="500A1E2E" w:rsidR="005A0182" w:rsidRDefault="005A0182" w:rsidP="005A0182">
      <w:pPr>
        <w:rPr>
          <w:rFonts w:cs="Arial"/>
          <w:sz w:val="22"/>
        </w:rPr>
      </w:pPr>
      <w:r>
        <w:rPr>
          <w:rFonts w:cs="Arial"/>
          <w:sz w:val="22"/>
        </w:rPr>
        <w:t xml:space="preserve">lesquelles cristallisent de forts enjeux politiques depuis quelques décennies. </w:t>
      </w:r>
    </w:p>
    <w:p w14:paraId="45838A08" w14:textId="40A42FD1" w:rsidR="005A0182" w:rsidRDefault="005A0182" w:rsidP="005A0182">
      <w:pPr>
        <w:rPr>
          <w:rFonts w:cs="Arial"/>
          <w:sz w:val="22"/>
        </w:rPr>
      </w:pPr>
    </w:p>
    <w:p w14:paraId="75CB37DE" w14:textId="502A9D0B" w:rsidR="005A0182" w:rsidRDefault="00167B56" w:rsidP="005A0182">
      <w:pPr>
        <w:rPr>
          <w:rFonts w:cs="Arial"/>
          <w:sz w:val="22"/>
        </w:rPr>
      </w:pPr>
      <w:r>
        <w:rPr>
          <w:rFonts w:cs="Arial"/>
          <w:sz w:val="22"/>
        </w:rPr>
        <w:t>L</w:t>
      </w:r>
      <w:r w:rsidR="005A0182">
        <w:rPr>
          <w:rFonts w:cs="Arial"/>
          <w:sz w:val="22"/>
        </w:rPr>
        <w:t xml:space="preserve">’entrée ou le refoulement aux frontières est régi par l’art. 7 LEI, conformément aux accords de Schengen, qui prévoient qu’une fermeture des frontières n’est possible qu’en cas de force majeure, dont la pandémie, ce qui se </w:t>
      </w:r>
      <w:r>
        <w:rPr>
          <w:rFonts w:cs="Arial"/>
          <w:sz w:val="22"/>
        </w:rPr>
        <w:t xml:space="preserve">reflète dans la deuxième « couche » légale, à l’art. 2 al. 2 let b de la </w:t>
      </w:r>
      <w:r w:rsidRPr="00167B56">
        <w:rPr>
          <w:rFonts w:cs="Arial"/>
          <w:b/>
          <w:bCs/>
          <w:sz w:val="22"/>
        </w:rPr>
        <w:t>loi sur les épidémies</w:t>
      </w:r>
      <w:r>
        <w:rPr>
          <w:rFonts w:cs="Arial"/>
          <w:sz w:val="22"/>
        </w:rPr>
        <w:t xml:space="preserve"> (dite la </w:t>
      </w:r>
      <w:proofErr w:type="spellStart"/>
      <w:r>
        <w:rPr>
          <w:rFonts w:cs="Arial"/>
          <w:sz w:val="22"/>
        </w:rPr>
        <w:t>LEp</w:t>
      </w:r>
      <w:proofErr w:type="spellEnd"/>
      <w:r>
        <w:rPr>
          <w:rFonts w:cs="Arial"/>
          <w:sz w:val="22"/>
        </w:rPr>
        <w:t xml:space="preserve">), la Confédération ayant le pouvoir de fermer les frontières en raison d’un risque de propagation d’une maladie transmissible. </w:t>
      </w:r>
    </w:p>
    <w:p w14:paraId="66AD7AF9" w14:textId="1F7E58DE" w:rsidR="005A0182" w:rsidRDefault="005A0182" w:rsidP="005A0182">
      <w:pPr>
        <w:rPr>
          <w:rFonts w:cs="Arial"/>
          <w:sz w:val="22"/>
        </w:rPr>
      </w:pPr>
    </w:p>
    <w:p w14:paraId="4D23F645" w14:textId="5DDECF34" w:rsidR="00167B56" w:rsidRDefault="00167B56" w:rsidP="005A0182">
      <w:pPr>
        <w:rPr>
          <w:rFonts w:cs="Arial"/>
          <w:sz w:val="22"/>
        </w:rPr>
      </w:pPr>
      <w:r>
        <w:rPr>
          <w:rFonts w:cs="Arial"/>
          <w:sz w:val="22"/>
        </w:rPr>
        <w:t xml:space="preserve">La loi sur l’assurance maladie (dite la </w:t>
      </w:r>
      <w:proofErr w:type="spellStart"/>
      <w:r>
        <w:rPr>
          <w:rFonts w:cs="Arial"/>
          <w:sz w:val="22"/>
        </w:rPr>
        <w:t>LAMal</w:t>
      </w:r>
      <w:proofErr w:type="spellEnd"/>
      <w:r>
        <w:rPr>
          <w:rFonts w:cs="Arial"/>
          <w:sz w:val="22"/>
        </w:rPr>
        <w:t xml:space="preserve">) règle ensuite les soins accessibles, la législation cantonale réglant la question du financement de ces prestations de soin. </w:t>
      </w:r>
      <w:r w:rsidR="00F62658">
        <w:rPr>
          <w:rFonts w:cs="Arial"/>
          <w:sz w:val="22"/>
        </w:rPr>
        <w:t xml:space="preserve">La couverture dite « universelle » de la </w:t>
      </w:r>
      <w:proofErr w:type="spellStart"/>
      <w:r w:rsidR="00F62658">
        <w:rPr>
          <w:rFonts w:cs="Arial"/>
          <w:sz w:val="22"/>
        </w:rPr>
        <w:t>LAMal</w:t>
      </w:r>
      <w:proofErr w:type="spellEnd"/>
      <w:r w:rsidR="00F62658">
        <w:rPr>
          <w:rFonts w:cs="Arial"/>
          <w:sz w:val="22"/>
        </w:rPr>
        <w:t xml:space="preserve"> (art. 3 </w:t>
      </w:r>
      <w:proofErr w:type="spellStart"/>
      <w:r w:rsidR="00F62658">
        <w:rPr>
          <w:rFonts w:cs="Arial"/>
          <w:sz w:val="22"/>
        </w:rPr>
        <w:t>LAMal</w:t>
      </w:r>
      <w:proofErr w:type="spellEnd"/>
      <w:r w:rsidR="00F62658">
        <w:rPr>
          <w:rFonts w:cs="Arial"/>
          <w:sz w:val="22"/>
        </w:rPr>
        <w:t xml:space="preserve">), jumelée à la notion large de « domicile » (art. 13 LPGA et 24 CC), implique que même les « sans-papiers » devraient bénéficier de soins. </w:t>
      </w:r>
    </w:p>
    <w:p w14:paraId="47BFE3A5" w14:textId="278CFE0B" w:rsidR="00F62658" w:rsidRDefault="00F62658" w:rsidP="005A0182">
      <w:pPr>
        <w:rPr>
          <w:rFonts w:cs="Arial"/>
          <w:sz w:val="22"/>
        </w:rPr>
      </w:pPr>
    </w:p>
    <w:p w14:paraId="66FAC250" w14:textId="45B240E9" w:rsidR="00F62658" w:rsidRDefault="00EF5EFA" w:rsidP="005A0182">
      <w:pPr>
        <w:rPr>
          <w:rFonts w:cs="Arial"/>
          <w:sz w:val="22"/>
        </w:rPr>
      </w:pPr>
      <w:r>
        <w:rPr>
          <w:rFonts w:cs="Arial"/>
          <w:sz w:val="22"/>
        </w:rPr>
        <w:t>Le Secrétariat d’</w:t>
      </w:r>
      <w:proofErr w:type="spellStart"/>
      <w:r>
        <w:rPr>
          <w:rFonts w:cs="Arial"/>
          <w:sz w:val="22"/>
        </w:rPr>
        <w:t>Etat</w:t>
      </w:r>
      <w:proofErr w:type="spellEnd"/>
      <w:r>
        <w:rPr>
          <w:rFonts w:cs="Arial"/>
          <w:sz w:val="22"/>
        </w:rPr>
        <w:t xml:space="preserve"> à la migration (dit le SEM) est </w:t>
      </w:r>
      <w:proofErr w:type="spellStart"/>
      <w:r>
        <w:rPr>
          <w:rFonts w:cs="Arial"/>
          <w:sz w:val="22"/>
        </w:rPr>
        <w:t>cahrgé</w:t>
      </w:r>
      <w:proofErr w:type="spellEnd"/>
      <w:r>
        <w:rPr>
          <w:rFonts w:cs="Arial"/>
          <w:sz w:val="22"/>
        </w:rPr>
        <w:t xml:space="preserve"> d’assurer les requérants d’asile en centre d’hébergement auprès de la </w:t>
      </w:r>
      <w:proofErr w:type="spellStart"/>
      <w:r>
        <w:rPr>
          <w:rFonts w:cs="Arial"/>
          <w:sz w:val="22"/>
        </w:rPr>
        <w:t>LAMal</w:t>
      </w:r>
      <w:proofErr w:type="spellEnd"/>
      <w:r>
        <w:rPr>
          <w:rFonts w:cs="Arial"/>
          <w:sz w:val="22"/>
        </w:rPr>
        <w:t xml:space="preserve"> (contrat spécial avec la CSS) : l’accès aux soins est dès lors du ressort de la Confédération (art. 80 </w:t>
      </w:r>
      <w:proofErr w:type="spellStart"/>
      <w:r>
        <w:rPr>
          <w:rFonts w:cs="Arial"/>
          <w:sz w:val="22"/>
        </w:rPr>
        <w:t>LAsi</w:t>
      </w:r>
      <w:proofErr w:type="spellEnd"/>
      <w:r>
        <w:rPr>
          <w:rFonts w:cs="Arial"/>
          <w:sz w:val="22"/>
        </w:rPr>
        <w:t xml:space="preserve">) : à leur arrivée, les requérants ont une consultation avec un infirmer, qui documente avant tout leur statut vaccinal et HIV / tuberculose, notamment moins leur état psychique. </w:t>
      </w:r>
    </w:p>
    <w:p w14:paraId="62710229" w14:textId="246CBEBB" w:rsidR="00EF5EFA" w:rsidRDefault="00EF5EFA" w:rsidP="005A0182">
      <w:pPr>
        <w:rPr>
          <w:rFonts w:cs="Arial"/>
          <w:sz w:val="22"/>
        </w:rPr>
      </w:pPr>
    </w:p>
    <w:p w14:paraId="7ADDCB9F" w14:textId="39E18E83" w:rsidR="00EF5EFA" w:rsidRDefault="00EF5EFA" w:rsidP="005A0182">
      <w:pPr>
        <w:rPr>
          <w:rFonts w:cs="Arial"/>
          <w:sz w:val="22"/>
        </w:rPr>
      </w:pPr>
      <w:r>
        <w:rPr>
          <w:rFonts w:cs="Arial"/>
          <w:sz w:val="22"/>
        </w:rPr>
        <w:t xml:space="preserve">L’accès à des spécialistes n’est ouvert aux requérants qu’avec l’accord du médecin du centre (double </w:t>
      </w:r>
      <w:proofErr w:type="spellStart"/>
      <w:r>
        <w:rPr>
          <w:rFonts w:cs="Arial"/>
          <w:sz w:val="22"/>
        </w:rPr>
        <w:t>gatekeeping</w:t>
      </w:r>
      <w:proofErr w:type="spellEnd"/>
      <w:r>
        <w:rPr>
          <w:rFonts w:cs="Arial"/>
          <w:sz w:val="22"/>
        </w:rPr>
        <w:t xml:space="preserve">), selon l’art. 82 al. 2 </w:t>
      </w:r>
      <w:proofErr w:type="spellStart"/>
      <w:r>
        <w:rPr>
          <w:rFonts w:cs="Arial"/>
          <w:sz w:val="22"/>
        </w:rPr>
        <w:t>LAsi</w:t>
      </w:r>
      <w:proofErr w:type="spellEnd"/>
      <w:r>
        <w:rPr>
          <w:rFonts w:cs="Arial"/>
          <w:sz w:val="22"/>
        </w:rPr>
        <w:t xml:space="preserve">. </w:t>
      </w:r>
    </w:p>
    <w:p w14:paraId="1760FFE3" w14:textId="7F45765C" w:rsidR="00167B56" w:rsidRDefault="00167B56" w:rsidP="005A0182">
      <w:pPr>
        <w:rPr>
          <w:rFonts w:cs="Arial"/>
          <w:sz w:val="22"/>
        </w:rPr>
      </w:pPr>
    </w:p>
    <w:p w14:paraId="26DAB1E4" w14:textId="700C26B1" w:rsidR="00167B56" w:rsidRDefault="00EF5EFA" w:rsidP="005A0182">
      <w:pPr>
        <w:rPr>
          <w:rFonts w:cs="Arial"/>
          <w:sz w:val="22"/>
        </w:rPr>
      </w:pPr>
      <w:r>
        <w:rPr>
          <w:rFonts w:cs="Arial"/>
          <w:sz w:val="22"/>
        </w:rPr>
        <w:t xml:space="preserve">L’admission provisoire pour motifs de santé est prévue par l’art. 83 LEI, traduisant en quelque sorte l’art. 3 CEDH. </w:t>
      </w:r>
    </w:p>
    <w:p w14:paraId="1D355A80" w14:textId="22DDA044" w:rsidR="00EF5EFA" w:rsidRDefault="00EF5EFA" w:rsidP="005A0182">
      <w:pPr>
        <w:rPr>
          <w:rFonts w:cs="Arial"/>
          <w:sz w:val="22"/>
        </w:rPr>
      </w:pPr>
    </w:p>
    <w:p w14:paraId="2B5A1A49" w14:textId="5528C5EE" w:rsidR="00EF5EFA" w:rsidRDefault="00EF5EFA" w:rsidP="005A0182">
      <w:pPr>
        <w:rPr>
          <w:rFonts w:cs="Arial"/>
          <w:sz w:val="22"/>
        </w:rPr>
      </w:pPr>
      <w:r>
        <w:rPr>
          <w:rFonts w:cs="Arial"/>
          <w:sz w:val="22"/>
        </w:rPr>
        <w:t xml:space="preserve">Le TAF est toutefois très frileux à reconnaître une telle situation, traduisant l’inquiétude de certains que la Suisse ne devienne l’infirmerie des populations migrantes. </w:t>
      </w:r>
    </w:p>
    <w:p w14:paraId="0D075ACA" w14:textId="183E2171" w:rsidR="005A0182" w:rsidRDefault="005A0182" w:rsidP="005A0182">
      <w:pPr>
        <w:rPr>
          <w:rFonts w:cs="Arial"/>
          <w:sz w:val="22"/>
        </w:rPr>
      </w:pPr>
    </w:p>
    <w:p w14:paraId="2295A7B2" w14:textId="624F219E" w:rsidR="00EF5EFA" w:rsidRDefault="00EF5EFA" w:rsidP="005A0182">
      <w:pPr>
        <w:rPr>
          <w:rFonts w:cs="Arial"/>
          <w:sz w:val="22"/>
        </w:rPr>
      </w:pPr>
    </w:p>
    <w:p w14:paraId="10C98EF5" w14:textId="0F731D2E" w:rsidR="00EF5EFA" w:rsidRDefault="00EF5EFA" w:rsidP="005A0182">
      <w:pPr>
        <w:rPr>
          <w:rFonts w:cs="Arial"/>
          <w:sz w:val="22"/>
        </w:rPr>
      </w:pPr>
      <w:r>
        <w:rPr>
          <w:rFonts w:cs="Arial"/>
          <w:sz w:val="22"/>
        </w:rPr>
        <w:t xml:space="preserve">On pourrait aussi considérer la question de ces trois types de législation sous l’angle </w:t>
      </w:r>
    </w:p>
    <w:p w14:paraId="5ACB2D32" w14:textId="6CE757A1" w:rsidR="00EF5EFA" w:rsidRDefault="00EF5EFA" w:rsidP="00EF5EFA">
      <w:pPr>
        <w:pStyle w:val="Paragraphedeliste"/>
        <w:numPr>
          <w:ilvl w:val="0"/>
          <w:numId w:val="12"/>
        </w:numPr>
        <w:rPr>
          <w:rFonts w:cs="Arial"/>
          <w:sz w:val="22"/>
        </w:rPr>
      </w:pPr>
      <w:r>
        <w:rPr>
          <w:rFonts w:cs="Arial"/>
          <w:sz w:val="22"/>
        </w:rPr>
        <w:t>Droit européen (Accord de Dublin, CEDH)</w:t>
      </w:r>
    </w:p>
    <w:p w14:paraId="466C315A" w14:textId="02F2FE9F" w:rsidR="00EF5EFA" w:rsidRDefault="00EF5EFA" w:rsidP="00EF5EFA">
      <w:pPr>
        <w:pStyle w:val="Paragraphedeliste"/>
        <w:numPr>
          <w:ilvl w:val="0"/>
          <w:numId w:val="12"/>
        </w:numPr>
        <w:rPr>
          <w:rFonts w:cs="Arial"/>
          <w:sz w:val="22"/>
        </w:rPr>
      </w:pPr>
      <w:r>
        <w:rPr>
          <w:rFonts w:cs="Arial"/>
          <w:sz w:val="22"/>
        </w:rPr>
        <w:t>Droit fédéral cité</w:t>
      </w:r>
    </w:p>
    <w:p w14:paraId="7B2A5CD4" w14:textId="78D5D6AF" w:rsidR="00EF5EFA" w:rsidRPr="00EF5EFA" w:rsidRDefault="00EF5EFA" w:rsidP="00EF5EFA">
      <w:pPr>
        <w:pStyle w:val="Paragraphedeliste"/>
        <w:numPr>
          <w:ilvl w:val="0"/>
          <w:numId w:val="12"/>
        </w:numPr>
        <w:rPr>
          <w:rFonts w:cs="Arial"/>
          <w:sz w:val="22"/>
        </w:rPr>
      </w:pPr>
      <w:r>
        <w:rPr>
          <w:rFonts w:cs="Arial"/>
          <w:sz w:val="22"/>
        </w:rPr>
        <w:t xml:space="preserve">Droit cantonal (pour l’aide d’urgence par exemple pour les personnes frappées d’une NEM) </w:t>
      </w:r>
    </w:p>
    <w:sectPr w:rsidR="00EF5EFA" w:rsidRPr="00EF5EFA"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503D1" w14:textId="77777777" w:rsidR="008A1748" w:rsidRDefault="008A1748" w:rsidP="0012550F">
      <w:r>
        <w:separator/>
      </w:r>
    </w:p>
  </w:endnote>
  <w:endnote w:type="continuationSeparator" w:id="0">
    <w:p w14:paraId="3E8860BB" w14:textId="77777777" w:rsidR="008A1748" w:rsidRDefault="008A1748"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3965B7" w:rsidRDefault="003965B7">
        <w:pPr>
          <w:pStyle w:val="Pieddepage"/>
          <w:jc w:val="right"/>
        </w:pPr>
        <w:r>
          <w:fldChar w:fldCharType="begin"/>
        </w:r>
        <w:r>
          <w:instrText>PAGE   \* MERGEFORMAT</w:instrText>
        </w:r>
        <w:r>
          <w:fldChar w:fldCharType="separate"/>
        </w:r>
        <w:r>
          <w:t>2</w:t>
        </w:r>
        <w:r>
          <w:fldChar w:fldCharType="end"/>
        </w:r>
      </w:p>
    </w:sdtContent>
  </w:sdt>
  <w:p w14:paraId="342ADBBD" w14:textId="77777777" w:rsidR="003965B7" w:rsidRDefault="003965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34347" w14:textId="77777777" w:rsidR="008A1748" w:rsidRDefault="008A1748" w:rsidP="0012550F">
      <w:r>
        <w:separator/>
      </w:r>
    </w:p>
  </w:footnote>
  <w:footnote w:type="continuationSeparator" w:id="0">
    <w:p w14:paraId="5946A771" w14:textId="77777777" w:rsidR="008A1748" w:rsidRDefault="008A1748"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F6BB8" w14:textId="5E6DB7EE" w:rsidR="004F08FB" w:rsidRPr="00506BB0" w:rsidRDefault="004F08FB" w:rsidP="00A53F78">
    <w:pPr>
      <w:pStyle w:val="En-tte"/>
      <w:jc w:val="right"/>
      <w:rPr>
        <w:szCs w:val="20"/>
        <w:lang w:val="fr-CH"/>
      </w:rPr>
    </w:pPr>
    <w:r w:rsidRPr="00506BB0">
      <w:rPr>
        <w:szCs w:val="20"/>
        <w:lang w:val="fr-CH"/>
      </w:rPr>
      <w:t>CAS droit des patients et sant</w:t>
    </w:r>
    <w:r w:rsidR="00A53F78">
      <w:rPr>
        <w:szCs w:val="20"/>
        <w:lang w:val="fr-CH"/>
      </w:rPr>
      <w:t xml:space="preserve">é </w:t>
    </w:r>
    <w:r w:rsidRPr="00506BB0">
      <w:rPr>
        <w:szCs w:val="20"/>
        <w:lang w:val="fr-CH"/>
      </w:rPr>
      <w:t>publi</w:t>
    </w:r>
    <w:r w:rsidR="00A53F78">
      <w:rPr>
        <w:szCs w:val="20"/>
        <w:lang w:val="fr-CH"/>
      </w:rPr>
      <w:t>que</w:t>
    </w:r>
    <w:r w:rsidRPr="00506BB0">
      <w:rPr>
        <w:szCs w:val="20"/>
        <w:lang w:val="fr-CH"/>
      </w:rPr>
      <w:t xml:space="preserve"> </w:t>
    </w:r>
  </w:p>
  <w:p w14:paraId="02E2C175" w14:textId="7F509E67" w:rsidR="007A70DB" w:rsidRPr="00E24DDB" w:rsidRDefault="004F08FB" w:rsidP="00A53F78">
    <w:pPr>
      <w:pStyle w:val="En-tte"/>
      <w:jc w:val="right"/>
      <w:rPr>
        <w:szCs w:val="20"/>
        <w:lang w:val="fr-CH"/>
      </w:rPr>
    </w:pPr>
    <w:r w:rsidRPr="00506BB0">
      <w:rPr>
        <w:szCs w:val="20"/>
        <w:lang w:val="fr-CH"/>
      </w:rPr>
      <w:t xml:space="preserve">Oral no 1 </w:t>
    </w:r>
  </w:p>
  <w:p w14:paraId="1C06776A" w14:textId="77777777" w:rsidR="007A70DB" w:rsidRPr="000A3D1A" w:rsidRDefault="007A70DB">
    <w:pPr>
      <w:pStyle w:val="En-tte"/>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42B6B"/>
    <w:multiLevelType w:val="hybridMultilevel"/>
    <w:tmpl w:val="EC806892"/>
    <w:lvl w:ilvl="0" w:tplc="040C0017">
      <w:start w:val="1"/>
      <w:numFmt w:val="lowerLetter"/>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1" w15:restartNumberingAfterBreak="0">
    <w:nsid w:val="10BE71B1"/>
    <w:multiLevelType w:val="hybridMultilevel"/>
    <w:tmpl w:val="571E97E4"/>
    <w:lvl w:ilvl="0" w:tplc="4CC82678">
      <w:start w:val="1"/>
      <w:numFmt w:val="decimal"/>
      <w:lvlText w:val="%1."/>
      <w:lvlJc w:val="left"/>
      <w:pPr>
        <w:ind w:left="360" w:hanging="360"/>
      </w:pPr>
      <w:rPr>
        <w:rFonts w:hint="default"/>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590F7C"/>
    <w:multiLevelType w:val="hybridMultilevel"/>
    <w:tmpl w:val="B73E6E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6A7C3F"/>
    <w:multiLevelType w:val="hybridMultilevel"/>
    <w:tmpl w:val="112C4986"/>
    <w:lvl w:ilvl="0" w:tplc="A7701CFA">
      <w:start w:val="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6B5F95"/>
    <w:multiLevelType w:val="hybridMultilevel"/>
    <w:tmpl w:val="0C600048"/>
    <w:lvl w:ilvl="0" w:tplc="7BCA6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03255E"/>
    <w:multiLevelType w:val="hybridMultilevel"/>
    <w:tmpl w:val="7D1C3CB8"/>
    <w:lvl w:ilvl="0" w:tplc="1092EC5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A793BA4"/>
    <w:multiLevelType w:val="hybridMultilevel"/>
    <w:tmpl w:val="EA6CBCEC"/>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905C09"/>
    <w:multiLevelType w:val="hybridMultilevel"/>
    <w:tmpl w:val="D4B84886"/>
    <w:lvl w:ilvl="0" w:tplc="9C24C16C">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08765E0"/>
    <w:multiLevelType w:val="hybridMultilevel"/>
    <w:tmpl w:val="E49E26DC"/>
    <w:lvl w:ilvl="0" w:tplc="E63AFA6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65F6AC7"/>
    <w:multiLevelType w:val="hybridMultilevel"/>
    <w:tmpl w:val="5CC8D1E8"/>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6C35DB6"/>
    <w:multiLevelType w:val="hybridMultilevel"/>
    <w:tmpl w:val="AF585B06"/>
    <w:lvl w:ilvl="0" w:tplc="100C0017">
      <w:start w:val="1"/>
      <w:numFmt w:val="lowerLetter"/>
      <w:lvlText w:val="%1)"/>
      <w:lvlJc w:val="left"/>
      <w:pPr>
        <w:ind w:left="862" w:hanging="360"/>
      </w:p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1" w15:restartNumberingAfterBreak="0">
    <w:nsid w:val="4DE20F09"/>
    <w:multiLevelType w:val="hybridMultilevel"/>
    <w:tmpl w:val="CD442F72"/>
    <w:lvl w:ilvl="0" w:tplc="100C000B">
      <w:start w:val="1"/>
      <w:numFmt w:val="bullet"/>
      <w:lvlText w:val=""/>
      <w:lvlJc w:val="left"/>
      <w:pPr>
        <w:ind w:left="1004" w:hanging="360"/>
      </w:pPr>
      <w:rPr>
        <w:rFonts w:ascii="Wingdings" w:hAnsi="Wingdings"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2" w15:restartNumberingAfterBreak="0">
    <w:nsid w:val="4EA600F7"/>
    <w:multiLevelType w:val="hybridMultilevel"/>
    <w:tmpl w:val="50368E9E"/>
    <w:lvl w:ilvl="0" w:tplc="04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74716BA"/>
    <w:multiLevelType w:val="hybridMultilevel"/>
    <w:tmpl w:val="814A73CC"/>
    <w:lvl w:ilvl="0" w:tplc="6F40569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B4609F"/>
    <w:multiLevelType w:val="hybridMultilevel"/>
    <w:tmpl w:val="0D98CDBE"/>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777817D9"/>
    <w:multiLevelType w:val="hybridMultilevel"/>
    <w:tmpl w:val="2E0277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B621EA9"/>
    <w:multiLevelType w:val="hybridMultilevel"/>
    <w:tmpl w:val="F95AB37A"/>
    <w:lvl w:ilvl="0" w:tplc="64AC8920">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12"/>
  </w:num>
  <w:num w:numId="5">
    <w:abstractNumId w:val="0"/>
  </w:num>
  <w:num w:numId="6">
    <w:abstractNumId w:val="10"/>
  </w:num>
  <w:num w:numId="7">
    <w:abstractNumId w:val="9"/>
  </w:num>
  <w:num w:numId="8">
    <w:abstractNumId w:val="16"/>
  </w:num>
  <w:num w:numId="9">
    <w:abstractNumId w:val="3"/>
  </w:num>
  <w:num w:numId="10">
    <w:abstractNumId w:val="7"/>
  </w:num>
  <w:num w:numId="11">
    <w:abstractNumId w:val="8"/>
  </w:num>
  <w:num w:numId="12">
    <w:abstractNumId w:val="13"/>
  </w:num>
  <w:num w:numId="13">
    <w:abstractNumId w:val="6"/>
  </w:num>
  <w:num w:numId="14">
    <w:abstractNumId w:val="1"/>
  </w:num>
  <w:num w:numId="15">
    <w:abstractNumId w:val="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A3D1A"/>
    <w:rsid w:val="0012550F"/>
    <w:rsid w:val="00167B56"/>
    <w:rsid w:val="0019643C"/>
    <w:rsid w:val="00262CBD"/>
    <w:rsid w:val="002D238C"/>
    <w:rsid w:val="003530C7"/>
    <w:rsid w:val="00356291"/>
    <w:rsid w:val="00361700"/>
    <w:rsid w:val="003965B7"/>
    <w:rsid w:val="003C5DC7"/>
    <w:rsid w:val="004147BD"/>
    <w:rsid w:val="00471E10"/>
    <w:rsid w:val="004F08FB"/>
    <w:rsid w:val="00532BF2"/>
    <w:rsid w:val="00537C7A"/>
    <w:rsid w:val="0056464F"/>
    <w:rsid w:val="005A0182"/>
    <w:rsid w:val="005B1110"/>
    <w:rsid w:val="005B150C"/>
    <w:rsid w:val="005C66B9"/>
    <w:rsid w:val="00755DAC"/>
    <w:rsid w:val="007A1303"/>
    <w:rsid w:val="007A70DB"/>
    <w:rsid w:val="007B1508"/>
    <w:rsid w:val="007C0E09"/>
    <w:rsid w:val="008A1748"/>
    <w:rsid w:val="008B26BC"/>
    <w:rsid w:val="008F2D5D"/>
    <w:rsid w:val="009608BD"/>
    <w:rsid w:val="00A23682"/>
    <w:rsid w:val="00A53F78"/>
    <w:rsid w:val="00AC1A3D"/>
    <w:rsid w:val="00AD5DA0"/>
    <w:rsid w:val="00B40180"/>
    <w:rsid w:val="00B56118"/>
    <w:rsid w:val="00BD6E88"/>
    <w:rsid w:val="00C80C57"/>
    <w:rsid w:val="00CF3C4C"/>
    <w:rsid w:val="00D36ACC"/>
    <w:rsid w:val="00DC7F56"/>
    <w:rsid w:val="00E24DDB"/>
    <w:rsid w:val="00E45730"/>
    <w:rsid w:val="00E46B98"/>
    <w:rsid w:val="00E832D2"/>
    <w:rsid w:val="00EC1AC4"/>
    <w:rsid w:val="00EE1877"/>
    <w:rsid w:val="00EF5EFA"/>
    <w:rsid w:val="00F62658"/>
    <w:rsid w:val="00FE3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p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p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pPr>
  </w:style>
  <w:style w:type="paragraph" w:styleId="Notedebasdepage">
    <w:name w:val="footnote text"/>
    <w:basedOn w:val="Normal"/>
    <w:link w:val="NotedebasdepageCar"/>
    <w:uiPriority w:val="99"/>
    <w:semiHidden/>
    <w:unhideWhenUsed/>
    <w:rsid w:val="00E45730"/>
    <w:rPr>
      <w:szCs w:val="20"/>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5869">
      <w:bodyDiv w:val="1"/>
      <w:marLeft w:val="0"/>
      <w:marRight w:val="0"/>
      <w:marTop w:val="0"/>
      <w:marBottom w:val="0"/>
      <w:divBdr>
        <w:top w:val="none" w:sz="0" w:space="0" w:color="auto"/>
        <w:left w:val="none" w:sz="0" w:space="0" w:color="auto"/>
        <w:bottom w:val="none" w:sz="0" w:space="0" w:color="auto"/>
        <w:right w:val="none" w:sz="0" w:space="0" w:color="auto"/>
      </w:divBdr>
    </w:div>
    <w:div w:id="346516633">
      <w:bodyDiv w:val="1"/>
      <w:marLeft w:val="0"/>
      <w:marRight w:val="0"/>
      <w:marTop w:val="0"/>
      <w:marBottom w:val="0"/>
      <w:divBdr>
        <w:top w:val="none" w:sz="0" w:space="0" w:color="auto"/>
        <w:left w:val="none" w:sz="0" w:space="0" w:color="auto"/>
        <w:bottom w:val="none" w:sz="0" w:space="0" w:color="auto"/>
        <w:right w:val="none" w:sz="0" w:space="0" w:color="auto"/>
      </w:divBdr>
    </w:div>
    <w:div w:id="367687239">
      <w:bodyDiv w:val="1"/>
      <w:marLeft w:val="0"/>
      <w:marRight w:val="0"/>
      <w:marTop w:val="0"/>
      <w:marBottom w:val="0"/>
      <w:divBdr>
        <w:top w:val="none" w:sz="0" w:space="0" w:color="auto"/>
        <w:left w:val="none" w:sz="0" w:space="0" w:color="auto"/>
        <w:bottom w:val="none" w:sz="0" w:space="0" w:color="auto"/>
        <w:right w:val="none" w:sz="0" w:space="0" w:color="auto"/>
      </w:divBdr>
    </w:div>
    <w:div w:id="459348594">
      <w:bodyDiv w:val="1"/>
      <w:marLeft w:val="0"/>
      <w:marRight w:val="0"/>
      <w:marTop w:val="0"/>
      <w:marBottom w:val="0"/>
      <w:divBdr>
        <w:top w:val="none" w:sz="0" w:space="0" w:color="auto"/>
        <w:left w:val="none" w:sz="0" w:space="0" w:color="auto"/>
        <w:bottom w:val="none" w:sz="0" w:space="0" w:color="auto"/>
        <w:right w:val="none" w:sz="0" w:space="0" w:color="auto"/>
      </w:divBdr>
    </w:div>
    <w:div w:id="564417273">
      <w:bodyDiv w:val="1"/>
      <w:marLeft w:val="0"/>
      <w:marRight w:val="0"/>
      <w:marTop w:val="0"/>
      <w:marBottom w:val="0"/>
      <w:divBdr>
        <w:top w:val="none" w:sz="0" w:space="0" w:color="auto"/>
        <w:left w:val="none" w:sz="0" w:space="0" w:color="auto"/>
        <w:bottom w:val="none" w:sz="0" w:space="0" w:color="auto"/>
        <w:right w:val="none" w:sz="0" w:space="0" w:color="auto"/>
      </w:divBdr>
    </w:div>
    <w:div w:id="723454593">
      <w:bodyDiv w:val="1"/>
      <w:marLeft w:val="0"/>
      <w:marRight w:val="0"/>
      <w:marTop w:val="0"/>
      <w:marBottom w:val="0"/>
      <w:divBdr>
        <w:top w:val="none" w:sz="0" w:space="0" w:color="auto"/>
        <w:left w:val="none" w:sz="0" w:space="0" w:color="auto"/>
        <w:bottom w:val="none" w:sz="0" w:space="0" w:color="auto"/>
        <w:right w:val="none" w:sz="0" w:space="0" w:color="auto"/>
      </w:divBdr>
    </w:div>
    <w:div w:id="773864984">
      <w:bodyDiv w:val="1"/>
      <w:marLeft w:val="0"/>
      <w:marRight w:val="0"/>
      <w:marTop w:val="0"/>
      <w:marBottom w:val="0"/>
      <w:divBdr>
        <w:top w:val="none" w:sz="0" w:space="0" w:color="auto"/>
        <w:left w:val="none" w:sz="0" w:space="0" w:color="auto"/>
        <w:bottom w:val="none" w:sz="0" w:space="0" w:color="auto"/>
        <w:right w:val="none" w:sz="0" w:space="0" w:color="auto"/>
      </w:divBdr>
    </w:div>
    <w:div w:id="795179167">
      <w:bodyDiv w:val="1"/>
      <w:marLeft w:val="0"/>
      <w:marRight w:val="0"/>
      <w:marTop w:val="0"/>
      <w:marBottom w:val="0"/>
      <w:divBdr>
        <w:top w:val="none" w:sz="0" w:space="0" w:color="auto"/>
        <w:left w:val="none" w:sz="0" w:space="0" w:color="auto"/>
        <w:bottom w:val="none" w:sz="0" w:space="0" w:color="auto"/>
        <w:right w:val="none" w:sz="0" w:space="0" w:color="auto"/>
      </w:divBdr>
    </w:div>
    <w:div w:id="860357343">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766807067">
      <w:bodyDiv w:val="1"/>
      <w:marLeft w:val="0"/>
      <w:marRight w:val="0"/>
      <w:marTop w:val="0"/>
      <w:marBottom w:val="0"/>
      <w:divBdr>
        <w:top w:val="none" w:sz="0" w:space="0" w:color="auto"/>
        <w:left w:val="none" w:sz="0" w:space="0" w:color="auto"/>
        <w:bottom w:val="none" w:sz="0" w:space="0" w:color="auto"/>
        <w:right w:val="none" w:sz="0" w:space="0" w:color="auto"/>
      </w:divBdr>
    </w:div>
    <w:div w:id="1887909988">
      <w:bodyDiv w:val="1"/>
      <w:marLeft w:val="0"/>
      <w:marRight w:val="0"/>
      <w:marTop w:val="0"/>
      <w:marBottom w:val="0"/>
      <w:divBdr>
        <w:top w:val="none" w:sz="0" w:space="0" w:color="auto"/>
        <w:left w:val="none" w:sz="0" w:space="0" w:color="auto"/>
        <w:bottom w:val="none" w:sz="0" w:space="0" w:color="auto"/>
        <w:right w:val="none" w:sz="0" w:space="0" w:color="auto"/>
      </w:divBdr>
    </w:div>
    <w:div w:id="2056153472">
      <w:bodyDiv w:val="1"/>
      <w:marLeft w:val="0"/>
      <w:marRight w:val="0"/>
      <w:marTop w:val="0"/>
      <w:marBottom w:val="0"/>
      <w:divBdr>
        <w:top w:val="none" w:sz="0" w:space="0" w:color="auto"/>
        <w:left w:val="none" w:sz="0" w:space="0" w:color="auto"/>
        <w:bottom w:val="none" w:sz="0" w:space="0" w:color="auto"/>
        <w:right w:val="none" w:sz="0" w:space="0" w:color="auto"/>
      </w:divBdr>
    </w:div>
    <w:div w:id="20721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FA4633A-E816-6547-BCC1-D8586DFE42AF}">
  <ds:schemaRefs>
    <ds:schemaRef ds:uri="http://schemas.openxmlformats.org/officeDocument/2006/bibliography"/>
  </ds:schemaRefs>
</ds:datastoreItem>
</file>

<file path=customXml/itemProps2.xml><?xml version="1.0" encoding="utf-8"?>
<ds:datastoreItem xmlns:ds="http://schemas.openxmlformats.org/officeDocument/2006/customXml" ds:itemID="{D74ED1EF-BF44-41C3-9FCC-4BF5E27742F8}"/>
</file>

<file path=customXml/itemProps3.xml><?xml version="1.0" encoding="utf-8"?>
<ds:datastoreItem xmlns:ds="http://schemas.openxmlformats.org/officeDocument/2006/customXml" ds:itemID="{1EBDFD22-A3DA-4A6B-8DC8-20F5EB7F8DAA}"/>
</file>

<file path=customXml/itemProps4.xml><?xml version="1.0" encoding="utf-8"?>
<ds:datastoreItem xmlns:ds="http://schemas.openxmlformats.org/officeDocument/2006/customXml" ds:itemID="{CB46C832-1D92-4F43-966F-89FD29BDA64A}"/>
</file>

<file path=docProps/app.xml><?xml version="1.0" encoding="utf-8"?>
<Properties xmlns="http://schemas.openxmlformats.org/officeDocument/2006/extended-properties" xmlns:vt="http://schemas.openxmlformats.org/officeDocument/2006/docPropsVTypes">
  <Template>Normal.dotm</Template>
  <TotalTime>62</TotalTime>
  <Pages>3</Pages>
  <Words>1212</Words>
  <Characters>6672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19</cp:revision>
  <cp:lastPrinted>2021-01-07T14:46:00Z</cp:lastPrinted>
  <dcterms:created xsi:type="dcterms:W3CDTF">2020-12-30T22:20:00Z</dcterms:created>
  <dcterms:modified xsi:type="dcterms:W3CDTF">2021-01-07T15:09:00Z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