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B306C" w14:textId="0259EFFE" w:rsidR="00421D02" w:rsidRPr="00AB509B" w:rsidRDefault="00BB2A28" w:rsidP="00AB509B">
      <w:pPr>
        <w:jc w:val="both"/>
        <w:rPr>
          <w:rFonts w:ascii="Arial" w:hAnsi="Arial" w:cs="Arial"/>
          <w:b/>
          <w:bCs/>
          <w:caps/>
          <w:sz w:val="22"/>
          <w:szCs w:val="22"/>
        </w:rPr>
      </w:pPr>
      <w:r w:rsidRPr="00AB509B">
        <w:rPr>
          <w:rFonts w:ascii="Arial" w:hAnsi="Arial" w:cs="Arial"/>
          <w:b/>
          <w:bCs/>
          <w:caps/>
          <w:sz w:val="22"/>
          <w:szCs w:val="22"/>
        </w:rPr>
        <w:t>documentation du consentement</w:t>
      </w:r>
    </w:p>
    <w:p w14:paraId="38662B5C" w14:textId="77777777" w:rsidR="00421D02" w:rsidRPr="00AB509B" w:rsidRDefault="00421D02" w:rsidP="00AB509B">
      <w:pPr>
        <w:jc w:val="both"/>
        <w:rPr>
          <w:rFonts w:ascii="Arial" w:hAnsi="Arial" w:cs="Arial"/>
          <w:sz w:val="22"/>
          <w:szCs w:val="22"/>
        </w:rPr>
      </w:pPr>
    </w:p>
    <w:p w14:paraId="4FA54592" w14:textId="13B4D5AE" w:rsidR="001432FF" w:rsidRPr="00AB509B" w:rsidRDefault="00BB2A28" w:rsidP="00AB509B">
      <w:pPr>
        <w:pBdr>
          <w:bottom w:val="single" w:sz="12" w:space="1" w:color="auto"/>
        </w:pBdr>
        <w:jc w:val="both"/>
        <w:rPr>
          <w:rFonts w:ascii="Arial" w:hAnsi="Arial" w:cs="Arial"/>
          <w:b/>
          <w:bCs/>
          <w:smallCaps/>
          <w:sz w:val="22"/>
          <w:szCs w:val="22"/>
        </w:rPr>
      </w:pPr>
      <w:r w:rsidRPr="00AB509B">
        <w:rPr>
          <w:rFonts w:ascii="Arial" w:hAnsi="Arial" w:cs="Arial"/>
          <w:b/>
          <w:bCs/>
          <w:smallCaps/>
          <w:sz w:val="22"/>
          <w:szCs w:val="22"/>
        </w:rPr>
        <w:t xml:space="preserve">Quelles sont les modalités du recueil du consentement ? </w:t>
      </w:r>
    </w:p>
    <w:p w14:paraId="21114661" w14:textId="423E3BEA" w:rsidR="00506BB0" w:rsidRPr="00AB509B" w:rsidRDefault="00506BB0" w:rsidP="00AB509B">
      <w:pPr>
        <w:jc w:val="both"/>
        <w:rPr>
          <w:rFonts w:ascii="Arial" w:hAnsi="Arial" w:cs="Arial"/>
          <w:b/>
          <w:bCs/>
          <w:smallCaps/>
          <w:sz w:val="22"/>
          <w:szCs w:val="22"/>
        </w:rPr>
      </w:pPr>
    </w:p>
    <w:p w14:paraId="688D6ADA" w14:textId="672666D4" w:rsidR="00BB2A28" w:rsidRPr="00AB509B" w:rsidRDefault="00BB2A28" w:rsidP="00EA703A">
      <w:pPr>
        <w:pStyle w:val="Paragraphedeliste"/>
        <w:numPr>
          <w:ilvl w:val="0"/>
          <w:numId w:val="3"/>
        </w:numPr>
        <w:rPr>
          <w:rFonts w:cs="Arial"/>
          <w:b/>
          <w:bCs/>
          <w:smallCaps/>
          <w:sz w:val="22"/>
        </w:rPr>
      </w:pPr>
      <w:r w:rsidRPr="00AB509B">
        <w:rPr>
          <w:rFonts w:cs="Arial"/>
          <w:b/>
          <w:bCs/>
          <w:smallCaps/>
          <w:sz w:val="22"/>
        </w:rPr>
        <w:t xml:space="preserve">qui peut consentir ? </w:t>
      </w:r>
    </w:p>
    <w:p w14:paraId="4743C8A7" w14:textId="62BC0DF1" w:rsidR="00BB2A28" w:rsidRPr="00AB509B" w:rsidRDefault="00BB2A28" w:rsidP="00EA703A">
      <w:pPr>
        <w:pStyle w:val="Paragraphedeliste"/>
        <w:numPr>
          <w:ilvl w:val="0"/>
          <w:numId w:val="3"/>
        </w:numPr>
        <w:rPr>
          <w:rFonts w:cs="Arial"/>
          <w:b/>
          <w:bCs/>
          <w:smallCaps/>
          <w:sz w:val="22"/>
        </w:rPr>
      </w:pPr>
      <w:r w:rsidRPr="00AB509B">
        <w:rPr>
          <w:rFonts w:cs="Arial"/>
          <w:b/>
          <w:bCs/>
          <w:smallCaps/>
          <w:sz w:val="22"/>
        </w:rPr>
        <w:t xml:space="preserve">comment doit-il consentir ? </w:t>
      </w:r>
    </w:p>
    <w:p w14:paraId="636FD268" w14:textId="77777777" w:rsidR="00BB2A28" w:rsidRPr="00AB509B" w:rsidRDefault="00BB2A28" w:rsidP="00AB509B">
      <w:pPr>
        <w:jc w:val="both"/>
        <w:rPr>
          <w:rFonts w:ascii="Arial" w:hAnsi="Arial" w:cs="Arial"/>
          <w:b/>
          <w:bCs/>
          <w:smallCaps/>
          <w:sz w:val="22"/>
          <w:szCs w:val="22"/>
        </w:rPr>
      </w:pPr>
    </w:p>
    <w:p w14:paraId="02601D01" w14:textId="4920265D" w:rsidR="00BB2A28" w:rsidRPr="00AB509B" w:rsidRDefault="00BB2A28" w:rsidP="00AB509B">
      <w:pPr>
        <w:jc w:val="both"/>
        <w:rPr>
          <w:rFonts w:ascii="Arial" w:hAnsi="Arial" w:cs="Arial"/>
          <w:sz w:val="22"/>
          <w:szCs w:val="22"/>
        </w:rPr>
      </w:pPr>
      <w:r w:rsidRPr="00AB509B">
        <w:rPr>
          <w:rFonts w:ascii="Arial" w:hAnsi="Arial" w:cs="Arial"/>
          <w:sz w:val="22"/>
          <w:szCs w:val="22"/>
        </w:rPr>
        <w:t xml:space="preserve">Pour qu’un </w:t>
      </w:r>
      <w:r w:rsidRPr="00AB509B">
        <w:rPr>
          <w:rFonts w:ascii="Arial" w:hAnsi="Arial" w:cs="Arial"/>
          <w:sz w:val="22"/>
          <w:szCs w:val="22"/>
        </w:rPr>
        <w:t xml:space="preserve">consentement </w:t>
      </w:r>
      <w:r w:rsidRPr="00AB509B">
        <w:rPr>
          <w:rFonts w:ascii="Arial" w:hAnsi="Arial" w:cs="Arial"/>
          <w:sz w:val="22"/>
          <w:szCs w:val="22"/>
        </w:rPr>
        <w:t xml:space="preserve">soit </w:t>
      </w:r>
      <w:r w:rsidRPr="00AB509B">
        <w:rPr>
          <w:rFonts w:ascii="Arial" w:hAnsi="Arial" w:cs="Arial"/>
          <w:b/>
          <w:bCs/>
          <w:sz w:val="22"/>
          <w:szCs w:val="22"/>
        </w:rPr>
        <w:t>éclairé</w:t>
      </w:r>
      <w:r w:rsidRPr="00AB509B">
        <w:rPr>
          <w:rFonts w:ascii="Arial" w:hAnsi="Arial" w:cs="Arial"/>
          <w:sz w:val="22"/>
          <w:szCs w:val="22"/>
        </w:rPr>
        <w:t xml:space="preserve">, </w:t>
      </w:r>
      <w:r w:rsidRPr="00AB509B">
        <w:rPr>
          <w:rFonts w:ascii="Arial" w:hAnsi="Arial" w:cs="Arial"/>
          <w:sz w:val="22"/>
          <w:szCs w:val="22"/>
        </w:rPr>
        <w:t xml:space="preserve">trois obligations </w:t>
      </w:r>
      <w:r w:rsidRPr="00AB509B">
        <w:rPr>
          <w:rFonts w:ascii="Arial" w:hAnsi="Arial" w:cs="Arial"/>
          <w:sz w:val="22"/>
          <w:szCs w:val="22"/>
        </w:rPr>
        <w:t xml:space="preserve">s’imposent au professionnel de la santé : </w:t>
      </w:r>
      <w:r w:rsidRPr="00AB509B">
        <w:rPr>
          <w:rFonts w:ascii="Arial" w:hAnsi="Arial" w:cs="Arial"/>
          <w:sz w:val="22"/>
          <w:szCs w:val="22"/>
        </w:rPr>
        <w:t xml:space="preserve"> </w:t>
      </w:r>
    </w:p>
    <w:p w14:paraId="3C456623" w14:textId="77777777" w:rsidR="00BB2A28" w:rsidRPr="00AB509B" w:rsidRDefault="00BB2A28" w:rsidP="00AB509B">
      <w:pPr>
        <w:jc w:val="both"/>
        <w:rPr>
          <w:rFonts w:ascii="Arial" w:hAnsi="Arial" w:cs="Arial"/>
          <w:sz w:val="22"/>
          <w:szCs w:val="22"/>
        </w:rPr>
      </w:pPr>
    </w:p>
    <w:p w14:paraId="4D6C1E17" w14:textId="76EA53EE" w:rsidR="00BB2A28" w:rsidRPr="00AB509B" w:rsidRDefault="00BB2A28" w:rsidP="00EA703A">
      <w:pPr>
        <w:pStyle w:val="Paragraphedeliste"/>
        <w:numPr>
          <w:ilvl w:val="0"/>
          <w:numId w:val="1"/>
        </w:numPr>
        <w:rPr>
          <w:rFonts w:cs="Arial"/>
          <w:sz w:val="22"/>
        </w:rPr>
      </w:pPr>
      <w:r w:rsidRPr="00AB509B">
        <w:rPr>
          <w:rFonts w:cs="Arial"/>
          <w:b/>
          <w:bCs/>
          <w:sz w:val="22"/>
        </w:rPr>
        <w:t>o</w:t>
      </w:r>
      <w:r w:rsidRPr="00AB509B">
        <w:rPr>
          <w:rFonts w:cs="Arial"/>
          <w:b/>
          <w:bCs/>
          <w:sz w:val="22"/>
        </w:rPr>
        <w:t>bligation d'informer le patient</w:t>
      </w:r>
      <w:r w:rsidRPr="00AB509B">
        <w:rPr>
          <w:rFonts w:cs="Arial"/>
          <w:sz w:val="22"/>
        </w:rPr>
        <w:t>, ce qui présuppose qu’il soit capable de discernement</w:t>
      </w:r>
      <w:r w:rsidR="00513A24" w:rsidRPr="00AB509B">
        <w:rPr>
          <w:rFonts w:cs="Arial"/>
          <w:sz w:val="22"/>
        </w:rPr>
        <w:t xml:space="preserve"> : avant toute prise en charge, le professionnel de la santé a l’obligation d’informer le patient de façon </w:t>
      </w:r>
      <w:r w:rsidR="00513A24" w:rsidRPr="00AB509B">
        <w:rPr>
          <w:rFonts w:cs="Arial"/>
          <w:b/>
          <w:bCs/>
          <w:sz w:val="22"/>
        </w:rPr>
        <w:t>simple, compréhensible et acceptable pour lui</w:t>
      </w:r>
    </w:p>
    <w:p w14:paraId="16A2C9B9" w14:textId="7E218636" w:rsidR="00601DF2" w:rsidRPr="00AB509B" w:rsidRDefault="00601DF2" w:rsidP="00AB509B">
      <w:pPr>
        <w:pStyle w:val="Paragraphedeliste"/>
        <w:rPr>
          <w:rFonts w:cs="Arial"/>
          <w:b/>
          <w:bCs/>
          <w:sz w:val="22"/>
        </w:rPr>
      </w:pPr>
    </w:p>
    <w:p w14:paraId="6586A5AA" w14:textId="2BE87860" w:rsidR="00601DF2" w:rsidRPr="00AB509B" w:rsidRDefault="00601DF2" w:rsidP="00AB509B">
      <w:pPr>
        <w:pStyle w:val="Paragraphedeliste"/>
        <w:ind w:left="360"/>
        <w:rPr>
          <w:rFonts w:cs="Arial"/>
          <w:sz w:val="22"/>
        </w:rPr>
      </w:pPr>
      <w:r w:rsidRPr="00AB509B">
        <w:rPr>
          <w:rFonts w:cs="Arial"/>
          <w:sz w:val="22"/>
        </w:rPr>
        <w:t xml:space="preserve">Les exceptions à l’obligation d’informer sont </w:t>
      </w:r>
    </w:p>
    <w:p w14:paraId="105ECE59" w14:textId="77777777" w:rsidR="00601DF2" w:rsidRPr="00AB509B" w:rsidRDefault="00601DF2" w:rsidP="00AB509B">
      <w:pPr>
        <w:jc w:val="both"/>
        <w:rPr>
          <w:rFonts w:ascii="Arial" w:hAnsi="Arial" w:cs="Arial"/>
          <w:sz w:val="22"/>
          <w:szCs w:val="22"/>
        </w:rPr>
      </w:pPr>
    </w:p>
    <w:p w14:paraId="2B12E798" w14:textId="77777777" w:rsidR="00601DF2" w:rsidRPr="00AB509B" w:rsidRDefault="00601DF2" w:rsidP="00EA703A">
      <w:pPr>
        <w:pStyle w:val="Paragraphedeliste"/>
        <w:numPr>
          <w:ilvl w:val="0"/>
          <w:numId w:val="4"/>
        </w:numPr>
        <w:rPr>
          <w:rFonts w:cs="Arial"/>
          <w:sz w:val="22"/>
        </w:rPr>
      </w:pPr>
      <w:r w:rsidRPr="00AB509B">
        <w:rPr>
          <w:rFonts w:cs="Arial"/>
          <w:sz w:val="22"/>
        </w:rPr>
        <w:t xml:space="preserve">l’urgence qui confine à l’état de nécessité, </w:t>
      </w:r>
    </w:p>
    <w:p w14:paraId="5D942C4A" w14:textId="77777777" w:rsidR="00601DF2" w:rsidRPr="00AB509B" w:rsidRDefault="00601DF2" w:rsidP="00EA703A">
      <w:pPr>
        <w:pStyle w:val="Paragraphedeliste"/>
        <w:numPr>
          <w:ilvl w:val="0"/>
          <w:numId w:val="4"/>
        </w:numPr>
        <w:rPr>
          <w:rFonts w:cs="Arial"/>
          <w:sz w:val="22"/>
        </w:rPr>
      </w:pPr>
      <w:r w:rsidRPr="00AB509B">
        <w:rPr>
          <w:rFonts w:cs="Arial"/>
          <w:sz w:val="22"/>
        </w:rPr>
        <w:t xml:space="preserve">les actes courants sans danger particulier, </w:t>
      </w:r>
    </w:p>
    <w:p w14:paraId="31982F07" w14:textId="77777777" w:rsidR="00601DF2" w:rsidRPr="00AB509B" w:rsidRDefault="00601DF2" w:rsidP="00EA703A">
      <w:pPr>
        <w:pStyle w:val="Paragraphedeliste"/>
        <w:numPr>
          <w:ilvl w:val="0"/>
          <w:numId w:val="4"/>
        </w:numPr>
        <w:rPr>
          <w:rFonts w:cs="Arial"/>
          <w:sz w:val="22"/>
        </w:rPr>
      </w:pPr>
      <w:r w:rsidRPr="00AB509B">
        <w:rPr>
          <w:rFonts w:cs="Arial"/>
          <w:sz w:val="22"/>
        </w:rPr>
        <w:t xml:space="preserve">le refus du patient qui indique valablement renoncer à son droit d’être informé et </w:t>
      </w:r>
    </w:p>
    <w:p w14:paraId="6726B4CF" w14:textId="47629484" w:rsidR="00601DF2" w:rsidRPr="00AB509B" w:rsidRDefault="00601DF2" w:rsidP="00EA703A">
      <w:pPr>
        <w:pStyle w:val="Paragraphedeliste"/>
        <w:numPr>
          <w:ilvl w:val="0"/>
          <w:numId w:val="4"/>
        </w:numPr>
        <w:rPr>
          <w:rFonts w:cs="Arial"/>
          <w:sz w:val="22"/>
        </w:rPr>
      </w:pPr>
      <w:r w:rsidRPr="00AB509B">
        <w:rPr>
          <w:rFonts w:cs="Arial"/>
          <w:sz w:val="22"/>
        </w:rPr>
        <w:t xml:space="preserve">le privilège thérapeutique : un pronostic fatal peut être caché au patient mais doit être révélé à ses proches (arrêt 4P_110/2003). </w:t>
      </w:r>
    </w:p>
    <w:p w14:paraId="28A500AC" w14:textId="77777777" w:rsidR="00513A24" w:rsidRPr="00AB509B" w:rsidRDefault="00513A24" w:rsidP="00AB509B">
      <w:pPr>
        <w:pStyle w:val="Paragraphedeliste"/>
        <w:rPr>
          <w:rFonts w:cs="Arial"/>
          <w:sz w:val="22"/>
        </w:rPr>
      </w:pPr>
    </w:p>
    <w:p w14:paraId="47CB2CE0" w14:textId="5A6098B1" w:rsidR="00BB2A28" w:rsidRPr="00AB509B" w:rsidRDefault="00BB2A28" w:rsidP="00EA703A">
      <w:pPr>
        <w:pStyle w:val="Paragraphedeliste"/>
        <w:numPr>
          <w:ilvl w:val="0"/>
          <w:numId w:val="1"/>
        </w:numPr>
        <w:rPr>
          <w:rFonts w:cs="Arial"/>
          <w:sz w:val="22"/>
          <w:lang w:val="fr-CH"/>
        </w:rPr>
      </w:pPr>
      <w:r w:rsidRPr="00AB509B">
        <w:rPr>
          <w:rFonts w:cs="Arial"/>
          <w:b/>
          <w:bCs/>
          <w:sz w:val="22"/>
          <w:lang w:val="fr-CH"/>
        </w:rPr>
        <w:t>o</w:t>
      </w:r>
      <w:r w:rsidRPr="00AB509B">
        <w:rPr>
          <w:rFonts w:cs="Arial"/>
          <w:b/>
          <w:bCs/>
          <w:sz w:val="22"/>
          <w:lang w:val="fr-CH"/>
        </w:rPr>
        <w:t>bligation d'obtenir le consentement</w:t>
      </w:r>
      <w:r w:rsidRPr="00AB509B">
        <w:rPr>
          <w:rFonts w:cs="Arial"/>
          <w:sz w:val="22"/>
          <w:lang w:val="fr-CH"/>
        </w:rPr>
        <w:t xml:space="preserve"> </w:t>
      </w:r>
      <w:r w:rsidRPr="00AB509B">
        <w:rPr>
          <w:rFonts w:cs="Arial"/>
          <w:sz w:val="22"/>
          <w:lang w:val="fr-CH"/>
        </w:rPr>
        <w:t>du patient</w:t>
      </w:r>
      <w:r w:rsidRPr="00AB509B">
        <w:rPr>
          <w:rFonts w:cs="Arial"/>
          <w:sz w:val="22"/>
          <w:lang w:val="fr-CH"/>
        </w:rPr>
        <w:t xml:space="preserve"> avant un traitement, une intervention</w:t>
      </w:r>
      <w:r w:rsidR="00513A24" w:rsidRPr="00AB509B">
        <w:rPr>
          <w:rFonts w:cs="Arial"/>
          <w:sz w:val="22"/>
          <w:lang w:val="fr-CH"/>
        </w:rPr>
        <w:t> : le professionnel supporte le fardeau de la preuve quant à son obligation d’informer correctement le patient</w:t>
      </w:r>
    </w:p>
    <w:p w14:paraId="6B15C85C" w14:textId="77777777" w:rsidR="00513A24" w:rsidRPr="00AB509B" w:rsidRDefault="00513A24" w:rsidP="00AB509B">
      <w:pPr>
        <w:jc w:val="both"/>
        <w:rPr>
          <w:rFonts w:ascii="Arial" w:hAnsi="Arial" w:cs="Arial"/>
          <w:sz w:val="22"/>
          <w:szCs w:val="22"/>
        </w:rPr>
      </w:pPr>
    </w:p>
    <w:p w14:paraId="58856304" w14:textId="21E40BF2" w:rsidR="00BB2A28" w:rsidRPr="00AB509B" w:rsidRDefault="00BB2A28" w:rsidP="00EA703A">
      <w:pPr>
        <w:pStyle w:val="Paragraphedeliste"/>
        <w:numPr>
          <w:ilvl w:val="0"/>
          <w:numId w:val="1"/>
        </w:numPr>
        <w:rPr>
          <w:rFonts w:cs="Arial"/>
          <w:sz w:val="22"/>
          <w:lang w:val="fr-CH"/>
        </w:rPr>
      </w:pPr>
      <w:r w:rsidRPr="00AB509B">
        <w:rPr>
          <w:rFonts w:cs="Arial"/>
          <w:b/>
          <w:bCs/>
          <w:sz w:val="22"/>
          <w:lang w:val="fr-CH"/>
        </w:rPr>
        <w:t>o</w:t>
      </w:r>
      <w:r w:rsidRPr="00AB509B">
        <w:rPr>
          <w:rFonts w:cs="Arial"/>
          <w:b/>
          <w:bCs/>
          <w:sz w:val="22"/>
          <w:lang w:val="fr-CH"/>
        </w:rPr>
        <w:t>bligation de documenter</w:t>
      </w:r>
      <w:r w:rsidRPr="00AB509B">
        <w:rPr>
          <w:rFonts w:cs="Arial"/>
          <w:sz w:val="22"/>
          <w:lang w:val="fr-CH"/>
        </w:rPr>
        <w:t xml:space="preserve"> le dossier du patient </w:t>
      </w:r>
      <w:r w:rsidR="00601DF2" w:rsidRPr="00AB509B">
        <w:rPr>
          <w:rFonts w:cs="Arial"/>
          <w:sz w:val="22"/>
          <w:lang w:val="fr-CH"/>
        </w:rPr>
        <w:t xml:space="preserve">qui découle de l’obligation d’attester et de l’information et du consentement, faute de quoi, sauf exception, l’intervention est illicite. </w:t>
      </w:r>
    </w:p>
    <w:p w14:paraId="4968082E" w14:textId="77777777" w:rsidR="00BB2A28" w:rsidRPr="00AB509B" w:rsidRDefault="00BB2A28" w:rsidP="00AB509B">
      <w:pPr>
        <w:jc w:val="both"/>
        <w:rPr>
          <w:rFonts w:ascii="Arial" w:hAnsi="Arial" w:cs="Arial"/>
          <w:sz w:val="22"/>
          <w:szCs w:val="22"/>
        </w:rPr>
      </w:pPr>
    </w:p>
    <w:p w14:paraId="370EAC52" w14:textId="77777777" w:rsidR="00BB2A28" w:rsidRPr="00AB509B" w:rsidRDefault="00BB2A28" w:rsidP="00AB509B">
      <w:pPr>
        <w:pStyle w:val="Paragraphedeliste"/>
        <w:ind w:hanging="720"/>
        <w:rPr>
          <w:rFonts w:cs="Arial"/>
          <w:sz w:val="22"/>
          <w:lang w:val="fr-CH"/>
        </w:rPr>
      </w:pPr>
      <w:r w:rsidRPr="00AB509B">
        <w:rPr>
          <w:rFonts w:cs="Arial"/>
          <w:sz w:val="22"/>
          <w:lang w:val="fr-CH"/>
        </w:rPr>
        <w:t xml:space="preserve">Les fondements </w:t>
      </w:r>
      <w:r w:rsidRPr="00AB509B">
        <w:rPr>
          <w:rFonts w:cs="Arial"/>
          <w:b/>
          <w:bCs/>
          <w:sz w:val="22"/>
          <w:lang w:val="fr-CH"/>
        </w:rPr>
        <w:t>juridiques</w:t>
      </w:r>
      <w:r w:rsidRPr="00AB509B">
        <w:rPr>
          <w:rFonts w:cs="Arial"/>
          <w:sz w:val="22"/>
          <w:lang w:val="fr-CH"/>
        </w:rPr>
        <w:t xml:space="preserve"> de ces obligations :</w:t>
      </w:r>
    </w:p>
    <w:p w14:paraId="10AC442A" w14:textId="0C30CCF6" w:rsidR="00BB2A28" w:rsidRPr="00AB509B" w:rsidRDefault="007A6945" w:rsidP="00EA703A">
      <w:pPr>
        <w:pStyle w:val="Paragraphedeliste"/>
        <w:numPr>
          <w:ilvl w:val="0"/>
          <w:numId w:val="5"/>
        </w:numPr>
        <w:rPr>
          <w:rFonts w:cs="Arial"/>
          <w:sz w:val="22"/>
        </w:rPr>
      </w:pPr>
      <w:r w:rsidRPr="00AB509B">
        <w:rPr>
          <w:rFonts w:cs="Arial"/>
          <w:sz w:val="22"/>
          <w:lang w:val="fr-CH"/>
        </w:rPr>
        <w:t>l</w:t>
      </w:r>
      <w:r w:rsidR="00BB2A28" w:rsidRPr="00AB509B">
        <w:rPr>
          <w:rFonts w:cs="Arial"/>
          <w:sz w:val="22"/>
        </w:rPr>
        <w:t xml:space="preserve">e contrat entre le médecin et son patient (394 </w:t>
      </w:r>
      <w:proofErr w:type="spellStart"/>
      <w:r w:rsidR="00BB2A28" w:rsidRPr="00AB509B">
        <w:rPr>
          <w:rFonts w:cs="Arial"/>
          <w:sz w:val="22"/>
        </w:rPr>
        <w:t>ss</w:t>
      </w:r>
      <w:proofErr w:type="spellEnd"/>
      <w:r w:rsidR="00BB2A28" w:rsidRPr="00AB509B">
        <w:rPr>
          <w:rFonts w:cs="Arial"/>
          <w:sz w:val="22"/>
        </w:rPr>
        <w:t xml:space="preserve"> CO et 363 </w:t>
      </w:r>
      <w:proofErr w:type="spellStart"/>
      <w:r w:rsidR="00BB2A28" w:rsidRPr="00AB509B">
        <w:rPr>
          <w:rFonts w:cs="Arial"/>
          <w:sz w:val="22"/>
        </w:rPr>
        <w:t>ss</w:t>
      </w:r>
      <w:proofErr w:type="spellEnd"/>
      <w:r w:rsidR="00BB2A28" w:rsidRPr="00AB509B">
        <w:rPr>
          <w:rFonts w:cs="Arial"/>
          <w:sz w:val="22"/>
        </w:rPr>
        <w:t xml:space="preserve"> CO)</w:t>
      </w:r>
    </w:p>
    <w:p w14:paraId="3BBFC3F8" w14:textId="2EA023EA" w:rsidR="00BB2A28" w:rsidRPr="00AB509B" w:rsidRDefault="007A6945" w:rsidP="00EA703A">
      <w:pPr>
        <w:pStyle w:val="Paragraphedeliste"/>
        <w:numPr>
          <w:ilvl w:val="0"/>
          <w:numId w:val="5"/>
        </w:numPr>
        <w:rPr>
          <w:rFonts w:cs="Arial"/>
          <w:sz w:val="22"/>
          <w:lang w:val="fr-CH"/>
        </w:rPr>
      </w:pPr>
      <w:r w:rsidRPr="00AB509B">
        <w:rPr>
          <w:rFonts w:cs="Arial"/>
          <w:sz w:val="22"/>
          <w:lang w:val="fr-CH"/>
        </w:rPr>
        <w:t>l</w:t>
      </w:r>
      <w:r w:rsidR="00BB2A28" w:rsidRPr="00AB509B">
        <w:rPr>
          <w:rFonts w:cs="Arial"/>
          <w:sz w:val="22"/>
          <w:lang w:val="fr-CH"/>
        </w:rPr>
        <w:t>es droits de la personnalité (10Cst</w:t>
      </w:r>
      <w:r w:rsidRPr="00AB509B">
        <w:rPr>
          <w:rFonts w:cs="Arial"/>
          <w:sz w:val="22"/>
          <w:lang w:val="fr-CH"/>
        </w:rPr>
        <w:t xml:space="preserve"> </w:t>
      </w:r>
      <w:r w:rsidR="00BB2A28" w:rsidRPr="00AB509B">
        <w:rPr>
          <w:rFonts w:cs="Arial"/>
          <w:sz w:val="22"/>
          <w:lang w:val="fr-CH"/>
        </w:rPr>
        <w:t>-</w:t>
      </w:r>
      <w:r w:rsidRPr="00AB509B">
        <w:rPr>
          <w:rFonts w:cs="Arial"/>
          <w:sz w:val="22"/>
          <w:lang w:val="fr-CH"/>
        </w:rPr>
        <w:t xml:space="preserve"> </w:t>
      </w:r>
      <w:r w:rsidR="00BB2A28" w:rsidRPr="00AB509B">
        <w:rPr>
          <w:rFonts w:cs="Arial"/>
          <w:sz w:val="22"/>
          <w:lang w:val="fr-CH"/>
        </w:rPr>
        <w:t>28ss CC)</w:t>
      </w:r>
    </w:p>
    <w:p w14:paraId="46CDCA39" w14:textId="1E13FFDB" w:rsidR="00BB2A28" w:rsidRPr="00AB509B" w:rsidRDefault="007A6945" w:rsidP="00EA703A">
      <w:pPr>
        <w:pStyle w:val="Paragraphedeliste"/>
        <w:numPr>
          <w:ilvl w:val="0"/>
          <w:numId w:val="5"/>
        </w:numPr>
        <w:rPr>
          <w:rFonts w:cs="Arial"/>
          <w:sz w:val="22"/>
          <w:lang w:val="fr-CH"/>
        </w:rPr>
      </w:pPr>
      <w:r w:rsidRPr="00AB509B">
        <w:rPr>
          <w:rFonts w:cs="Arial"/>
          <w:sz w:val="22"/>
          <w:lang w:val="fr-CH"/>
        </w:rPr>
        <w:t>l</w:t>
      </w:r>
      <w:r w:rsidR="00BB2A28" w:rsidRPr="00AB509B">
        <w:rPr>
          <w:rFonts w:cs="Arial"/>
          <w:sz w:val="22"/>
          <w:lang w:val="fr-CH"/>
        </w:rPr>
        <w:t xml:space="preserve">es devoirs professionnels (droit public cantonal et fédéral, </w:t>
      </w:r>
      <w:proofErr w:type="spellStart"/>
      <w:r w:rsidR="00BB2A28" w:rsidRPr="00AB509B">
        <w:rPr>
          <w:rFonts w:cs="Arial"/>
          <w:sz w:val="22"/>
          <w:lang w:val="fr-CH"/>
        </w:rPr>
        <w:t>LP</w:t>
      </w:r>
      <w:r w:rsidRPr="00AB509B">
        <w:rPr>
          <w:rFonts w:cs="Arial"/>
          <w:sz w:val="22"/>
          <w:lang w:val="fr-CH"/>
        </w:rPr>
        <w:t>M</w:t>
      </w:r>
      <w:r w:rsidR="00BB2A28" w:rsidRPr="00AB509B">
        <w:rPr>
          <w:rFonts w:cs="Arial"/>
          <w:sz w:val="22"/>
          <w:lang w:val="fr-CH"/>
        </w:rPr>
        <w:t>ed</w:t>
      </w:r>
      <w:proofErr w:type="spellEnd"/>
      <w:r w:rsidR="00BB2A28" w:rsidRPr="00AB509B">
        <w:rPr>
          <w:rFonts w:cs="Arial"/>
          <w:sz w:val="22"/>
          <w:lang w:val="fr-CH"/>
        </w:rPr>
        <w:t xml:space="preserve">, </w:t>
      </w:r>
      <w:proofErr w:type="spellStart"/>
      <w:r w:rsidR="00BB2A28" w:rsidRPr="00AB509B">
        <w:rPr>
          <w:rFonts w:cs="Arial"/>
          <w:sz w:val="22"/>
          <w:lang w:val="fr-CH"/>
        </w:rPr>
        <w:t>LP</w:t>
      </w:r>
      <w:r w:rsidRPr="00AB509B">
        <w:rPr>
          <w:rFonts w:cs="Arial"/>
          <w:sz w:val="22"/>
          <w:lang w:val="fr-CH"/>
        </w:rPr>
        <w:t>S</w:t>
      </w:r>
      <w:r w:rsidR="00BB2A28" w:rsidRPr="00AB509B">
        <w:rPr>
          <w:rFonts w:cs="Arial"/>
          <w:sz w:val="22"/>
          <w:lang w:val="fr-CH"/>
        </w:rPr>
        <w:t>an</w:t>
      </w:r>
      <w:proofErr w:type="spellEnd"/>
      <w:r w:rsidR="00BB2A28" w:rsidRPr="00AB509B">
        <w:rPr>
          <w:rFonts w:cs="Arial"/>
          <w:sz w:val="22"/>
          <w:lang w:val="fr-CH"/>
        </w:rPr>
        <w:t xml:space="preserve">, </w:t>
      </w:r>
      <w:proofErr w:type="spellStart"/>
      <w:r w:rsidR="00BB2A28" w:rsidRPr="00AB509B">
        <w:rPr>
          <w:rFonts w:cs="Arial"/>
          <w:sz w:val="22"/>
          <w:lang w:val="fr-CH"/>
        </w:rPr>
        <w:t>LPsy</w:t>
      </w:r>
      <w:proofErr w:type="spellEnd"/>
      <w:r w:rsidR="00BB2A28" w:rsidRPr="00AB509B">
        <w:rPr>
          <w:rFonts w:cs="Arial"/>
          <w:sz w:val="22"/>
          <w:lang w:val="fr-CH"/>
        </w:rPr>
        <w:t xml:space="preserve">, </w:t>
      </w:r>
      <w:r w:rsidRPr="00AB509B">
        <w:rPr>
          <w:rFonts w:cs="Arial"/>
          <w:sz w:val="22"/>
          <w:lang w:val="fr-CH"/>
        </w:rPr>
        <w:t>l</w:t>
      </w:r>
      <w:r w:rsidR="00BB2A28" w:rsidRPr="00AB509B">
        <w:rPr>
          <w:rFonts w:cs="Arial"/>
          <w:sz w:val="22"/>
          <w:lang w:val="fr-CH"/>
        </w:rPr>
        <w:t xml:space="preserve">oi sanitaires cantonales) </w:t>
      </w:r>
    </w:p>
    <w:p w14:paraId="5C12A7E8" w14:textId="77777777" w:rsidR="00BB2A28" w:rsidRPr="00AB509B" w:rsidRDefault="00BB2A28" w:rsidP="00AB509B">
      <w:pPr>
        <w:rPr>
          <w:rFonts w:cs="Arial"/>
          <w:sz w:val="22"/>
        </w:rPr>
      </w:pPr>
    </w:p>
    <w:p w14:paraId="0314E022" w14:textId="30A6FB92" w:rsidR="00BB2A28" w:rsidRPr="00AB509B" w:rsidRDefault="00BB2A28" w:rsidP="00AB509B">
      <w:pPr>
        <w:pStyle w:val="Paragraphedeliste"/>
        <w:ind w:left="0"/>
        <w:rPr>
          <w:rFonts w:cs="Arial"/>
          <w:sz w:val="22"/>
          <w:lang w:val="fr-CH"/>
        </w:rPr>
      </w:pPr>
      <w:r w:rsidRPr="00AB509B">
        <w:rPr>
          <w:rFonts w:cs="Arial"/>
          <w:sz w:val="22"/>
          <w:lang w:val="fr-CH"/>
        </w:rPr>
        <w:t xml:space="preserve">Les fondements </w:t>
      </w:r>
      <w:r w:rsidRPr="00AB509B">
        <w:rPr>
          <w:rFonts w:cs="Arial"/>
          <w:b/>
          <w:bCs/>
          <w:sz w:val="22"/>
          <w:lang w:val="fr-CH"/>
        </w:rPr>
        <w:t>déontologiques</w:t>
      </w:r>
      <w:r w:rsidRPr="00AB509B">
        <w:rPr>
          <w:rFonts w:cs="Arial"/>
          <w:sz w:val="22"/>
          <w:lang w:val="fr-CH"/>
        </w:rPr>
        <w:t xml:space="preserve"> de ces obligations sont</w:t>
      </w:r>
      <w:r w:rsidR="007A6945" w:rsidRPr="00AB509B">
        <w:rPr>
          <w:rFonts w:cs="Arial"/>
          <w:sz w:val="22"/>
          <w:lang w:val="fr-CH"/>
        </w:rPr>
        <w:t xml:space="preserve"> le </w:t>
      </w:r>
      <w:r w:rsidRPr="00AB509B">
        <w:rPr>
          <w:rFonts w:cs="Arial"/>
          <w:sz w:val="22"/>
          <w:lang w:val="fr-CH"/>
        </w:rPr>
        <w:t>serment d'Hippocrate</w:t>
      </w:r>
      <w:r w:rsidR="007A6945" w:rsidRPr="00AB509B">
        <w:rPr>
          <w:rFonts w:cs="Arial"/>
          <w:sz w:val="22"/>
          <w:lang w:val="fr-CH"/>
        </w:rPr>
        <w:t xml:space="preserve">, les codes de déontologie de la FMH ou de l’ASI ou du Conseil international des infirmiers </w:t>
      </w:r>
    </w:p>
    <w:p w14:paraId="52E73724" w14:textId="77777777" w:rsidR="00BB2A28" w:rsidRPr="00AB509B" w:rsidRDefault="00BB2A28" w:rsidP="00AB509B">
      <w:pPr>
        <w:pStyle w:val="Paragraphedeliste"/>
        <w:ind w:left="0"/>
        <w:rPr>
          <w:rFonts w:cs="Arial"/>
          <w:sz w:val="22"/>
          <w:lang w:val="fr-CH"/>
        </w:rPr>
      </w:pPr>
    </w:p>
    <w:p w14:paraId="0D0BDE62" w14:textId="77777777" w:rsidR="00BB2A28" w:rsidRPr="00AB509B" w:rsidRDefault="00BB2A28" w:rsidP="00AB509B">
      <w:pPr>
        <w:jc w:val="both"/>
        <w:rPr>
          <w:rFonts w:ascii="Arial" w:hAnsi="Arial" w:cs="Arial"/>
          <w:sz w:val="22"/>
          <w:szCs w:val="22"/>
        </w:rPr>
      </w:pPr>
    </w:p>
    <w:p w14:paraId="1B5F1C43" w14:textId="0A507B92" w:rsidR="00BB2A28" w:rsidRPr="00AB509B" w:rsidRDefault="00BB2A28" w:rsidP="00EA703A">
      <w:pPr>
        <w:pStyle w:val="Paragraphedeliste"/>
        <w:numPr>
          <w:ilvl w:val="0"/>
          <w:numId w:val="2"/>
        </w:numPr>
        <w:rPr>
          <w:rFonts w:cs="Arial"/>
          <w:b/>
          <w:bCs/>
          <w:sz w:val="22"/>
          <w:lang w:val="fr-CH"/>
        </w:rPr>
      </w:pPr>
      <w:r w:rsidRPr="00AB509B">
        <w:rPr>
          <w:rFonts w:cs="Arial"/>
          <w:b/>
          <w:bCs/>
          <w:sz w:val="22"/>
          <w:lang w:val="fr-CH"/>
        </w:rPr>
        <w:t xml:space="preserve">La forme </w:t>
      </w:r>
      <w:r w:rsidR="00DF5C95" w:rsidRPr="00AB509B">
        <w:rPr>
          <w:rFonts w:cs="Arial"/>
          <w:b/>
          <w:bCs/>
          <w:sz w:val="22"/>
          <w:lang w:val="fr-CH"/>
        </w:rPr>
        <w:t>du consentement</w:t>
      </w:r>
    </w:p>
    <w:p w14:paraId="2ACBF4D5" w14:textId="77777777" w:rsidR="00BB2A28" w:rsidRPr="00AB509B" w:rsidRDefault="00BB2A28" w:rsidP="00AB509B">
      <w:pPr>
        <w:jc w:val="both"/>
        <w:rPr>
          <w:rFonts w:ascii="Arial" w:hAnsi="Arial" w:cs="Arial"/>
          <w:sz w:val="22"/>
          <w:szCs w:val="22"/>
        </w:rPr>
      </w:pPr>
    </w:p>
    <w:p w14:paraId="03F2B647" w14:textId="29D26D2D" w:rsidR="00DF5C95" w:rsidRDefault="00DF5C95" w:rsidP="00AB509B">
      <w:pPr>
        <w:jc w:val="both"/>
        <w:rPr>
          <w:rFonts w:ascii="Arial" w:hAnsi="Arial" w:cs="Arial"/>
          <w:sz w:val="22"/>
          <w:szCs w:val="22"/>
        </w:rPr>
      </w:pPr>
      <w:r w:rsidRPr="00AB509B">
        <w:rPr>
          <w:rFonts w:ascii="Arial" w:hAnsi="Arial" w:cs="Arial"/>
          <w:sz w:val="22"/>
          <w:szCs w:val="22"/>
        </w:rPr>
        <w:t>En principe,</w:t>
      </w:r>
      <w:r w:rsidR="00BB2A28" w:rsidRPr="00AB509B">
        <w:rPr>
          <w:rFonts w:ascii="Arial" w:hAnsi="Arial" w:cs="Arial"/>
          <w:sz w:val="22"/>
          <w:szCs w:val="22"/>
        </w:rPr>
        <w:t xml:space="preserve"> aucune forme n'est prescrite pour le recueil du consentement</w:t>
      </w:r>
      <w:r w:rsidRPr="00AB509B">
        <w:rPr>
          <w:rFonts w:ascii="Arial" w:hAnsi="Arial" w:cs="Arial"/>
          <w:sz w:val="22"/>
          <w:szCs w:val="22"/>
        </w:rPr>
        <w:t xml:space="preserve"> ; toutefois, il convient de souligner des exceptions dans les domaines suivants où la forme écrite est exigée par le droit fédéral : </w:t>
      </w:r>
    </w:p>
    <w:p w14:paraId="08B3104C" w14:textId="77777777" w:rsidR="00AB509B" w:rsidRPr="00AB509B" w:rsidRDefault="00AB509B" w:rsidP="00AB509B">
      <w:pPr>
        <w:jc w:val="both"/>
        <w:rPr>
          <w:rFonts w:ascii="Arial" w:hAnsi="Arial" w:cs="Arial"/>
          <w:sz w:val="22"/>
          <w:szCs w:val="22"/>
        </w:rPr>
      </w:pPr>
    </w:p>
    <w:p w14:paraId="7D454B6B" w14:textId="03052897" w:rsidR="00DF5C95" w:rsidRPr="00AB509B" w:rsidRDefault="00DF5C95" w:rsidP="00EA703A">
      <w:pPr>
        <w:pStyle w:val="Paragraphedeliste"/>
        <w:numPr>
          <w:ilvl w:val="0"/>
          <w:numId w:val="6"/>
        </w:numPr>
        <w:rPr>
          <w:rFonts w:cs="Arial"/>
          <w:sz w:val="22"/>
        </w:rPr>
      </w:pPr>
      <w:r w:rsidRPr="00AB509B">
        <w:rPr>
          <w:rFonts w:cs="Arial"/>
          <w:sz w:val="22"/>
        </w:rPr>
        <w:t>Consentement à l’IVG (art. 120 CP)</w:t>
      </w:r>
      <w:r w:rsidR="00F70B57" w:rsidRPr="00AB509B">
        <w:rPr>
          <w:rFonts w:cs="Arial"/>
          <w:sz w:val="22"/>
        </w:rPr>
        <w:t xml:space="preserve">, le médecin étant pénalement responsable s’il omet d’exiger de la femme enceinte une requête écrite </w:t>
      </w:r>
    </w:p>
    <w:p w14:paraId="6C4EF40D" w14:textId="38101C2E" w:rsidR="00DF5C95" w:rsidRPr="00AB509B" w:rsidRDefault="00DF5C95" w:rsidP="00EA703A">
      <w:pPr>
        <w:pStyle w:val="Paragraphedeliste"/>
        <w:numPr>
          <w:ilvl w:val="0"/>
          <w:numId w:val="6"/>
        </w:numPr>
        <w:rPr>
          <w:rFonts w:cs="Arial"/>
          <w:sz w:val="22"/>
        </w:rPr>
      </w:pPr>
      <w:r w:rsidRPr="00AB509B">
        <w:rPr>
          <w:rFonts w:cs="Arial"/>
          <w:sz w:val="22"/>
        </w:rPr>
        <w:t>Consentement à la PM</w:t>
      </w:r>
      <w:r w:rsidR="00F70B57" w:rsidRPr="00AB509B">
        <w:rPr>
          <w:rFonts w:cs="Arial"/>
          <w:sz w:val="22"/>
        </w:rPr>
        <w:t>A</w:t>
      </w:r>
      <w:r w:rsidRPr="00AB509B">
        <w:rPr>
          <w:rFonts w:cs="Arial"/>
          <w:sz w:val="22"/>
        </w:rPr>
        <w:t xml:space="preserve"> (art. 7 LPMA) </w:t>
      </w:r>
    </w:p>
    <w:p w14:paraId="28FD8119" w14:textId="39D2DFDD" w:rsidR="00DF5C95" w:rsidRPr="00AB509B" w:rsidRDefault="00DF5C95" w:rsidP="00EA703A">
      <w:pPr>
        <w:pStyle w:val="Paragraphedeliste"/>
        <w:numPr>
          <w:ilvl w:val="0"/>
          <w:numId w:val="6"/>
        </w:numPr>
        <w:rPr>
          <w:rFonts w:cs="Arial"/>
          <w:sz w:val="22"/>
        </w:rPr>
      </w:pPr>
      <w:r w:rsidRPr="00AB509B">
        <w:rPr>
          <w:rFonts w:cs="Arial"/>
          <w:sz w:val="22"/>
        </w:rPr>
        <w:t>Consentement à la stérilisation (art. 5 à 7 de la loi sur la stérilisation</w:t>
      </w:r>
      <w:r w:rsidR="00F70B57" w:rsidRPr="00AB509B">
        <w:rPr>
          <w:rFonts w:cs="Arial"/>
          <w:sz w:val="22"/>
        </w:rPr>
        <w:t>, RS 211.111.1</w:t>
      </w:r>
      <w:r w:rsidRPr="00AB509B">
        <w:rPr>
          <w:rFonts w:cs="Arial"/>
          <w:sz w:val="22"/>
        </w:rPr>
        <w:t xml:space="preserve">) </w:t>
      </w:r>
    </w:p>
    <w:p w14:paraId="6A77CF72" w14:textId="5FD6C04A" w:rsidR="00DF5C95" w:rsidRPr="00AB509B" w:rsidRDefault="00DF5C95" w:rsidP="00EA703A">
      <w:pPr>
        <w:pStyle w:val="Paragraphedeliste"/>
        <w:numPr>
          <w:ilvl w:val="0"/>
          <w:numId w:val="6"/>
        </w:numPr>
        <w:rPr>
          <w:rFonts w:cs="Arial"/>
          <w:sz w:val="22"/>
        </w:rPr>
      </w:pPr>
      <w:r w:rsidRPr="00AB509B">
        <w:rPr>
          <w:rFonts w:cs="Arial"/>
          <w:sz w:val="22"/>
        </w:rPr>
        <w:t>Consentement au don d’organe (art. 12 de la loi sur la transplantation</w:t>
      </w:r>
      <w:r w:rsidR="00F70B57" w:rsidRPr="00AB509B">
        <w:rPr>
          <w:rFonts w:cs="Arial"/>
          <w:sz w:val="22"/>
        </w:rPr>
        <w:t>, RS 810.21</w:t>
      </w:r>
      <w:r w:rsidRPr="00AB509B">
        <w:rPr>
          <w:rFonts w:cs="Arial"/>
          <w:sz w:val="22"/>
        </w:rPr>
        <w:t xml:space="preserve">) </w:t>
      </w:r>
    </w:p>
    <w:p w14:paraId="4262AE3C" w14:textId="2D2F3D7C" w:rsidR="00DF5C95" w:rsidRPr="00AB509B" w:rsidRDefault="00DF5C95" w:rsidP="00EA703A">
      <w:pPr>
        <w:pStyle w:val="Paragraphedeliste"/>
        <w:numPr>
          <w:ilvl w:val="0"/>
          <w:numId w:val="6"/>
        </w:numPr>
        <w:rPr>
          <w:rFonts w:cs="Arial"/>
          <w:sz w:val="22"/>
        </w:rPr>
      </w:pPr>
      <w:r w:rsidRPr="00AB509B">
        <w:rPr>
          <w:rFonts w:cs="Arial"/>
          <w:sz w:val="22"/>
        </w:rPr>
        <w:t xml:space="preserve">Consentement </w:t>
      </w:r>
      <w:r w:rsidR="00F70B57" w:rsidRPr="00AB509B">
        <w:rPr>
          <w:rFonts w:cs="Arial"/>
          <w:sz w:val="22"/>
        </w:rPr>
        <w:t xml:space="preserve">à des analyses génétiques (art. 18 LAGH, RS 810.12) </w:t>
      </w:r>
    </w:p>
    <w:p w14:paraId="58811F62" w14:textId="77777777" w:rsidR="00F70B57" w:rsidRPr="00AB509B" w:rsidRDefault="00F70B57" w:rsidP="00AB509B">
      <w:pPr>
        <w:jc w:val="both"/>
        <w:rPr>
          <w:rFonts w:ascii="Arial" w:hAnsi="Arial" w:cs="Arial"/>
          <w:sz w:val="22"/>
          <w:szCs w:val="22"/>
        </w:rPr>
      </w:pPr>
    </w:p>
    <w:p w14:paraId="62E9227D" w14:textId="6C9DDF65" w:rsidR="00BB2A28" w:rsidRPr="00AB509B" w:rsidRDefault="00F70B57" w:rsidP="00AB509B">
      <w:pPr>
        <w:jc w:val="both"/>
        <w:rPr>
          <w:rFonts w:ascii="Arial" w:hAnsi="Arial" w:cs="Arial"/>
          <w:sz w:val="22"/>
          <w:szCs w:val="22"/>
        </w:rPr>
      </w:pPr>
      <w:r w:rsidRPr="00AB509B">
        <w:rPr>
          <w:rFonts w:ascii="Arial" w:hAnsi="Arial" w:cs="Arial"/>
          <w:sz w:val="22"/>
          <w:szCs w:val="22"/>
        </w:rPr>
        <w:t xml:space="preserve">Le consentement </w:t>
      </w:r>
      <w:r w:rsidR="00BB2A28" w:rsidRPr="00AB509B">
        <w:rPr>
          <w:rFonts w:ascii="Arial" w:hAnsi="Arial" w:cs="Arial"/>
          <w:sz w:val="22"/>
          <w:szCs w:val="22"/>
        </w:rPr>
        <w:t>écrit est conseillé pour des prises en charges complexes ou risquées.</w:t>
      </w:r>
    </w:p>
    <w:p w14:paraId="24DCF492" w14:textId="77777777" w:rsidR="00BB2A28" w:rsidRPr="00AB509B" w:rsidRDefault="00BB2A28" w:rsidP="00AB509B">
      <w:pPr>
        <w:pStyle w:val="Paragraphedeliste"/>
        <w:rPr>
          <w:rFonts w:cs="Arial"/>
          <w:sz w:val="22"/>
          <w:u w:val="single"/>
          <w:lang w:val="fr-CH"/>
        </w:rPr>
      </w:pPr>
    </w:p>
    <w:p w14:paraId="4552263F" w14:textId="5884E8E2" w:rsidR="00BB2A28" w:rsidRPr="00AB509B" w:rsidRDefault="00BB2A28" w:rsidP="00AB509B">
      <w:pPr>
        <w:jc w:val="both"/>
        <w:rPr>
          <w:rFonts w:ascii="Arial" w:hAnsi="Arial" w:cs="Arial"/>
          <w:sz w:val="22"/>
          <w:szCs w:val="22"/>
          <w:u w:val="single"/>
        </w:rPr>
      </w:pPr>
      <w:r w:rsidRPr="00AB509B">
        <w:rPr>
          <w:rFonts w:ascii="Arial" w:hAnsi="Arial" w:cs="Arial"/>
          <w:sz w:val="22"/>
          <w:szCs w:val="22"/>
        </w:rPr>
        <w:t xml:space="preserve">Les formulaires peuvent être utilisés aussi bien pour informer le patient que pour recueillir son consentement. </w:t>
      </w:r>
    </w:p>
    <w:p w14:paraId="7B921D25" w14:textId="0B2DE97C" w:rsidR="00BB2A28" w:rsidRPr="00AB509B" w:rsidRDefault="00BB2A28" w:rsidP="00EA703A">
      <w:pPr>
        <w:pStyle w:val="Paragraphedeliste"/>
        <w:numPr>
          <w:ilvl w:val="0"/>
          <w:numId w:val="2"/>
        </w:numPr>
        <w:rPr>
          <w:rFonts w:cs="Arial"/>
          <w:b/>
          <w:bCs/>
          <w:sz w:val="22"/>
          <w:u w:val="single"/>
          <w:lang w:val="fr-CH"/>
        </w:rPr>
      </w:pPr>
      <w:r w:rsidRPr="00AB509B">
        <w:rPr>
          <w:rFonts w:cs="Arial"/>
          <w:b/>
          <w:bCs/>
          <w:sz w:val="22"/>
          <w:lang w:val="fr-CH"/>
        </w:rPr>
        <w:lastRenderedPageBreak/>
        <w:t xml:space="preserve">Le contexte </w:t>
      </w:r>
    </w:p>
    <w:p w14:paraId="2F75019D" w14:textId="77777777" w:rsidR="00BB2A28" w:rsidRPr="00AB509B" w:rsidRDefault="00BB2A28" w:rsidP="00AB509B">
      <w:pPr>
        <w:jc w:val="both"/>
        <w:rPr>
          <w:rFonts w:ascii="Arial" w:hAnsi="Arial" w:cs="Arial"/>
          <w:sz w:val="22"/>
          <w:szCs w:val="22"/>
          <w:u w:val="single"/>
        </w:rPr>
      </w:pPr>
    </w:p>
    <w:p w14:paraId="3F406311" w14:textId="6D1295E5" w:rsidR="00BB2A28" w:rsidRPr="00AB509B" w:rsidRDefault="00191DEF" w:rsidP="00AB509B">
      <w:pPr>
        <w:jc w:val="both"/>
        <w:rPr>
          <w:rFonts w:ascii="Arial" w:hAnsi="Arial" w:cs="Arial"/>
          <w:sz w:val="22"/>
          <w:szCs w:val="22"/>
        </w:rPr>
      </w:pPr>
      <w:r w:rsidRPr="00AB509B">
        <w:rPr>
          <w:rFonts w:ascii="Arial" w:hAnsi="Arial" w:cs="Arial"/>
          <w:sz w:val="22"/>
          <w:szCs w:val="22"/>
        </w:rPr>
        <w:t>En principe, le consentement est recueilli par</w:t>
      </w:r>
      <w:r w:rsidR="00BB2A28" w:rsidRPr="00AB509B">
        <w:rPr>
          <w:rFonts w:ascii="Arial" w:hAnsi="Arial" w:cs="Arial"/>
          <w:sz w:val="22"/>
          <w:szCs w:val="22"/>
        </w:rPr>
        <w:t xml:space="preserve"> la personne qui a informé le patient. Il s'agit d'une question de qualité du consentement. </w:t>
      </w:r>
    </w:p>
    <w:p w14:paraId="7D0D6B92" w14:textId="77777777" w:rsidR="00191DEF" w:rsidRPr="00AB509B" w:rsidRDefault="00191DEF" w:rsidP="00AB509B">
      <w:pPr>
        <w:jc w:val="both"/>
        <w:rPr>
          <w:rFonts w:ascii="Arial" w:hAnsi="Arial" w:cs="Arial"/>
          <w:sz w:val="22"/>
          <w:szCs w:val="22"/>
          <w:u w:val="single"/>
        </w:rPr>
      </w:pPr>
    </w:p>
    <w:p w14:paraId="24256136" w14:textId="77777777" w:rsidR="00BB2A28" w:rsidRPr="00AB509B" w:rsidRDefault="00BB2A28" w:rsidP="00AB509B">
      <w:pPr>
        <w:jc w:val="both"/>
        <w:rPr>
          <w:rFonts w:ascii="Arial" w:hAnsi="Arial" w:cs="Arial"/>
          <w:sz w:val="22"/>
          <w:szCs w:val="22"/>
        </w:rPr>
      </w:pPr>
      <w:r w:rsidRPr="00AB509B">
        <w:rPr>
          <w:rFonts w:ascii="Arial" w:hAnsi="Arial" w:cs="Arial"/>
          <w:sz w:val="22"/>
          <w:szCs w:val="22"/>
        </w:rPr>
        <w:t>Le lieu</w:t>
      </w:r>
      <w:r w:rsidRPr="00AB509B">
        <w:rPr>
          <w:rFonts w:ascii="Arial" w:hAnsi="Arial" w:cs="Arial"/>
          <w:sz w:val="22"/>
          <w:szCs w:val="22"/>
          <w:u w:val="single"/>
        </w:rPr>
        <w:t xml:space="preserve"> </w:t>
      </w:r>
      <w:r w:rsidRPr="00AB509B">
        <w:rPr>
          <w:rFonts w:ascii="Arial" w:hAnsi="Arial" w:cs="Arial"/>
          <w:sz w:val="22"/>
          <w:szCs w:val="22"/>
        </w:rPr>
        <w:t xml:space="preserve">où l'entretien d'information et de consentement doivent avoir lieu, doit être adapté. Il </w:t>
      </w:r>
      <w:proofErr w:type="spellStart"/>
      <w:r w:rsidRPr="00AB509B">
        <w:rPr>
          <w:rFonts w:ascii="Arial" w:hAnsi="Arial" w:cs="Arial"/>
          <w:sz w:val="22"/>
          <w:szCs w:val="22"/>
        </w:rPr>
        <w:t>convent</w:t>
      </w:r>
      <w:proofErr w:type="spellEnd"/>
      <w:r w:rsidRPr="00AB509B">
        <w:rPr>
          <w:rFonts w:ascii="Arial" w:hAnsi="Arial" w:cs="Arial"/>
          <w:sz w:val="22"/>
          <w:szCs w:val="22"/>
        </w:rPr>
        <w:t xml:space="preserve"> d'éviter le moment de la grande visite, le couloir, la salle d'examen. Il convient de privilégier un lieu protégé ou l'intimité est préservée.</w:t>
      </w:r>
    </w:p>
    <w:p w14:paraId="490F2CE2" w14:textId="77777777" w:rsidR="00BB2A28" w:rsidRPr="00AB509B" w:rsidRDefault="00BB2A28" w:rsidP="00AB509B">
      <w:pPr>
        <w:pStyle w:val="Paragraphedeliste"/>
        <w:rPr>
          <w:rFonts w:cs="Arial"/>
          <w:sz w:val="22"/>
          <w:u w:val="single"/>
          <w:lang w:val="fr-CH"/>
        </w:rPr>
      </w:pPr>
    </w:p>
    <w:p w14:paraId="2CC1951D" w14:textId="4B118B7D" w:rsidR="00191DEF" w:rsidRPr="00AB509B" w:rsidRDefault="00191DEF" w:rsidP="00AB509B">
      <w:pPr>
        <w:jc w:val="both"/>
        <w:rPr>
          <w:rFonts w:ascii="Arial" w:hAnsi="Arial" w:cs="Arial"/>
          <w:sz w:val="22"/>
          <w:szCs w:val="22"/>
        </w:rPr>
      </w:pPr>
      <w:r w:rsidRPr="00AB509B">
        <w:rPr>
          <w:rFonts w:ascii="Arial" w:hAnsi="Arial" w:cs="Arial"/>
          <w:sz w:val="22"/>
          <w:szCs w:val="22"/>
        </w:rPr>
        <w:t>En vertu de l’</w:t>
      </w:r>
      <w:r w:rsidR="00BB2A28" w:rsidRPr="00AB509B">
        <w:rPr>
          <w:rFonts w:ascii="Arial" w:hAnsi="Arial" w:cs="Arial"/>
          <w:sz w:val="22"/>
          <w:szCs w:val="22"/>
        </w:rPr>
        <w:t xml:space="preserve">ATF 105 II 284, le professionnel de la santé doit donner une information simple, intelligible et loyale ou selon </w:t>
      </w:r>
      <w:r w:rsidRPr="00AB509B">
        <w:rPr>
          <w:rFonts w:ascii="Arial" w:hAnsi="Arial" w:cs="Arial"/>
          <w:sz w:val="22"/>
          <w:szCs w:val="22"/>
        </w:rPr>
        <w:t>l’</w:t>
      </w:r>
      <w:r w:rsidR="00BB2A28" w:rsidRPr="00AB509B">
        <w:rPr>
          <w:rFonts w:ascii="Arial" w:hAnsi="Arial" w:cs="Arial"/>
          <w:sz w:val="22"/>
          <w:szCs w:val="22"/>
        </w:rPr>
        <w:t>ATF 133 III 121</w:t>
      </w:r>
      <w:r w:rsidRPr="00AB509B">
        <w:rPr>
          <w:rFonts w:ascii="Arial" w:hAnsi="Arial" w:cs="Arial"/>
          <w:sz w:val="22"/>
          <w:szCs w:val="22"/>
        </w:rPr>
        <w:t xml:space="preserve">, il </w:t>
      </w:r>
      <w:r w:rsidR="00BB2A28" w:rsidRPr="00AB509B">
        <w:rPr>
          <w:rFonts w:ascii="Arial" w:hAnsi="Arial" w:cs="Arial"/>
          <w:sz w:val="22"/>
          <w:szCs w:val="22"/>
        </w:rPr>
        <w:t xml:space="preserve">doit l'informer en </w:t>
      </w:r>
      <w:r w:rsidRPr="00AB509B">
        <w:rPr>
          <w:rFonts w:ascii="Arial" w:hAnsi="Arial" w:cs="Arial"/>
          <w:sz w:val="22"/>
          <w:szCs w:val="22"/>
        </w:rPr>
        <w:t xml:space="preserve">des </w:t>
      </w:r>
      <w:r w:rsidR="00BB2A28" w:rsidRPr="00AB509B">
        <w:rPr>
          <w:rFonts w:ascii="Arial" w:hAnsi="Arial" w:cs="Arial"/>
          <w:sz w:val="22"/>
          <w:szCs w:val="22"/>
        </w:rPr>
        <w:t>terme</w:t>
      </w:r>
      <w:r w:rsidRPr="00AB509B">
        <w:rPr>
          <w:rFonts w:ascii="Arial" w:hAnsi="Arial" w:cs="Arial"/>
          <w:sz w:val="22"/>
          <w:szCs w:val="22"/>
        </w:rPr>
        <w:t>s</w:t>
      </w:r>
      <w:r w:rsidR="00BB2A28" w:rsidRPr="00AB509B">
        <w:rPr>
          <w:rFonts w:ascii="Arial" w:hAnsi="Arial" w:cs="Arial"/>
          <w:sz w:val="22"/>
          <w:szCs w:val="22"/>
        </w:rPr>
        <w:t xml:space="preserve"> clairs, intelligibles et aussi complets que possible</w:t>
      </w:r>
      <w:r w:rsidRPr="00AB509B">
        <w:rPr>
          <w:rFonts w:ascii="Arial" w:hAnsi="Arial" w:cs="Arial"/>
          <w:sz w:val="22"/>
          <w:szCs w:val="22"/>
        </w:rPr>
        <w:t xml:space="preserve">, adaptés </w:t>
      </w:r>
      <w:r w:rsidR="00BB2A28" w:rsidRPr="00AB509B">
        <w:rPr>
          <w:rFonts w:ascii="Arial" w:hAnsi="Arial" w:cs="Arial"/>
          <w:sz w:val="22"/>
          <w:szCs w:val="22"/>
        </w:rPr>
        <w:t>au patient, et</w:t>
      </w:r>
      <w:r w:rsidRPr="00AB509B">
        <w:rPr>
          <w:rFonts w:ascii="Arial" w:hAnsi="Arial" w:cs="Arial"/>
          <w:sz w:val="22"/>
          <w:szCs w:val="22"/>
        </w:rPr>
        <w:t xml:space="preserve"> </w:t>
      </w:r>
      <w:r w:rsidR="00BB2A28" w:rsidRPr="00AB509B">
        <w:rPr>
          <w:rFonts w:ascii="Arial" w:hAnsi="Arial" w:cs="Arial"/>
          <w:sz w:val="22"/>
          <w:szCs w:val="22"/>
        </w:rPr>
        <w:t xml:space="preserve">doit être plus important en cas de diagnostic ou de pronostique grave . </w:t>
      </w:r>
    </w:p>
    <w:p w14:paraId="20F0F7A1" w14:textId="0FEDF162" w:rsidR="00BB2A28" w:rsidRPr="00AB509B" w:rsidRDefault="00BB2A28" w:rsidP="00AB509B">
      <w:pPr>
        <w:jc w:val="both"/>
        <w:rPr>
          <w:rFonts w:ascii="Arial" w:hAnsi="Arial" w:cs="Arial"/>
          <w:sz w:val="22"/>
          <w:szCs w:val="22"/>
        </w:rPr>
      </w:pPr>
    </w:p>
    <w:p w14:paraId="3651E524" w14:textId="77777777" w:rsidR="00CC020A" w:rsidRPr="00AB509B" w:rsidRDefault="00CC020A" w:rsidP="00AB509B">
      <w:pPr>
        <w:jc w:val="both"/>
        <w:rPr>
          <w:rFonts w:ascii="Arial" w:hAnsi="Arial" w:cs="Arial"/>
          <w:sz w:val="22"/>
          <w:szCs w:val="22"/>
        </w:rPr>
      </w:pPr>
    </w:p>
    <w:p w14:paraId="07972ED6" w14:textId="36416621" w:rsidR="00191DEF" w:rsidRPr="00AB509B" w:rsidRDefault="00BB2A28" w:rsidP="00EA703A">
      <w:pPr>
        <w:pStyle w:val="Paragraphedeliste"/>
        <w:numPr>
          <w:ilvl w:val="0"/>
          <w:numId w:val="2"/>
        </w:numPr>
        <w:rPr>
          <w:rFonts w:cs="Arial"/>
          <w:b/>
          <w:bCs/>
          <w:sz w:val="22"/>
        </w:rPr>
      </w:pPr>
      <w:r w:rsidRPr="00AB509B">
        <w:rPr>
          <w:rFonts w:cs="Arial"/>
          <w:b/>
          <w:bCs/>
          <w:sz w:val="22"/>
        </w:rPr>
        <w:t xml:space="preserve">Le temps accordé au patient pour réfléchir, </w:t>
      </w:r>
    </w:p>
    <w:p w14:paraId="0D6F43A5" w14:textId="77777777" w:rsidR="00CC020A" w:rsidRPr="00AB509B" w:rsidRDefault="00CC020A" w:rsidP="00AB509B">
      <w:pPr>
        <w:jc w:val="both"/>
        <w:rPr>
          <w:rFonts w:ascii="Arial" w:hAnsi="Arial" w:cs="Arial"/>
          <w:sz w:val="22"/>
          <w:szCs w:val="22"/>
        </w:rPr>
      </w:pPr>
    </w:p>
    <w:p w14:paraId="56BBE89E" w14:textId="675EF15C" w:rsidR="00BB2A28" w:rsidRPr="00AB509B" w:rsidRDefault="00BB2A28" w:rsidP="00AB509B">
      <w:pPr>
        <w:jc w:val="both"/>
        <w:rPr>
          <w:rFonts w:ascii="Arial" w:hAnsi="Arial" w:cs="Arial"/>
          <w:sz w:val="22"/>
          <w:szCs w:val="22"/>
        </w:rPr>
      </w:pPr>
      <w:r w:rsidRPr="00AB509B">
        <w:rPr>
          <w:rFonts w:ascii="Arial" w:hAnsi="Arial" w:cs="Arial"/>
          <w:sz w:val="22"/>
          <w:szCs w:val="22"/>
        </w:rPr>
        <w:t>Le délai de réflexion doit être d'autant plus long que l'intervention est lourde et risquée</w:t>
      </w:r>
      <w:r w:rsidR="00CC020A" w:rsidRPr="00AB509B">
        <w:rPr>
          <w:rFonts w:ascii="Arial" w:hAnsi="Arial" w:cs="Arial"/>
          <w:sz w:val="22"/>
          <w:szCs w:val="22"/>
        </w:rPr>
        <w:t> : u</w:t>
      </w:r>
      <w:r w:rsidRPr="00AB509B">
        <w:rPr>
          <w:rFonts w:ascii="Arial" w:hAnsi="Arial" w:cs="Arial"/>
          <w:sz w:val="22"/>
          <w:szCs w:val="22"/>
        </w:rPr>
        <w:t>n délai d'un jour est suffisant pour une opération de peu de gravit</w:t>
      </w:r>
      <w:r w:rsidR="00CC020A" w:rsidRPr="00AB509B">
        <w:rPr>
          <w:rFonts w:ascii="Arial" w:hAnsi="Arial" w:cs="Arial"/>
          <w:sz w:val="22"/>
          <w:szCs w:val="22"/>
        </w:rPr>
        <w:t>é, u</w:t>
      </w:r>
      <w:r w:rsidRPr="00AB509B">
        <w:rPr>
          <w:rFonts w:ascii="Arial" w:hAnsi="Arial" w:cs="Arial"/>
          <w:sz w:val="22"/>
          <w:szCs w:val="22"/>
        </w:rPr>
        <w:t>n délai de trois jours au moins est nécessaire pour les interventions lourdes et risquées (TF 4P 265/2002).</w:t>
      </w:r>
    </w:p>
    <w:p w14:paraId="50DCB5D2" w14:textId="77777777" w:rsidR="00BB2A28" w:rsidRPr="00AB509B" w:rsidRDefault="00BB2A28" w:rsidP="00AB509B">
      <w:pPr>
        <w:jc w:val="both"/>
        <w:rPr>
          <w:rFonts w:ascii="Arial" w:hAnsi="Arial" w:cs="Arial"/>
          <w:sz w:val="22"/>
          <w:szCs w:val="22"/>
        </w:rPr>
      </w:pPr>
    </w:p>
    <w:p w14:paraId="1AA4FEA2" w14:textId="77777777" w:rsidR="00CC020A" w:rsidRPr="00AB509B" w:rsidRDefault="00BB2A28" w:rsidP="00AB509B">
      <w:pPr>
        <w:jc w:val="both"/>
        <w:rPr>
          <w:rFonts w:ascii="Arial" w:hAnsi="Arial" w:cs="Arial"/>
          <w:sz w:val="22"/>
          <w:szCs w:val="22"/>
        </w:rPr>
      </w:pPr>
      <w:r w:rsidRPr="00AB509B">
        <w:rPr>
          <w:rFonts w:ascii="Arial" w:hAnsi="Arial" w:cs="Arial"/>
          <w:sz w:val="22"/>
          <w:szCs w:val="22"/>
        </w:rPr>
        <w:t xml:space="preserve">Le moment de l'information, du consentement, les circonstances (rapidement en fin de journée, entre deux portes) jouent souvent un rôle essentiel dans les affaires engageant la responsabilité civile ou pénale. </w:t>
      </w:r>
    </w:p>
    <w:p w14:paraId="32F799B4" w14:textId="77777777" w:rsidR="00CC020A" w:rsidRPr="00AB509B" w:rsidRDefault="00CC020A" w:rsidP="00AB509B">
      <w:pPr>
        <w:jc w:val="both"/>
        <w:rPr>
          <w:rFonts w:ascii="Arial" w:hAnsi="Arial" w:cs="Arial"/>
          <w:sz w:val="22"/>
          <w:szCs w:val="22"/>
        </w:rPr>
      </w:pPr>
    </w:p>
    <w:p w14:paraId="3E381AB3" w14:textId="382807AF" w:rsidR="00BB2A28" w:rsidRPr="00AB509B" w:rsidRDefault="00BB2A28" w:rsidP="00AB509B">
      <w:pPr>
        <w:jc w:val="both"/>
        <w:rPr>
          <w:rFonts w:ascii="Arial" w:hAnsi="Arial" w:cs="Arial"/>
          <w:sz w:val="22"/>
          <w:szCs w:val="22"/>
        </w:rPr>
      </w:pPr>
      <w:r w:rsidRPr="00AB509B">
        <w:rPr>
          <w:rFonts w:ascii="Arial" w:hAnsi="Arial" w:cs="Arial"/>
          <w:sz w:val="22"/>
          <w:szCs w:val="22"/>
        </w:rPr>
        <w:t>Il importe donc que le soignant dispose au moment de l'information</w:t>
      </w:r>
      <w:r w:rsidR="00CC020A" w:rsidRPr="00AB509B">
        <w:rPr>
          <w:rFonts w:ascii="Arial" w:hAnsi="Arial" w:cs="Arial"/>
          <w:sz w:val="22"/>
          <w:szCs w:val="22"/>
        </w:rPr>
        <w:t xml:space="preserve"> de </w:t>
      </w:r>
      <w:r w:rsidRPr="00AB509B">
        <w:rPr>
          <w:rFonts w:ascii="Arial" w:hAnsi="Arial" w:cs="Arial"/>
          <w:sz w:val="22"/>
          <w:szCs w:val="22"/>
        </w:rPr>
        <w:t>suffisamment de temps ainsi que tous les éléments permettant une information aussi complète que possible (résultats de labo, p.ex.).</w:t>
      </w:r>
    </w:p>
    <w:p w14:paraId="0965149B" w14:textId="400BB2E7" w:rsidR="00BB2A28" w:rsidRPr="00AB509B" w:rsidRDefault="00BB2A28" w:rsidP="00AB509B">
      <w:pPr>
        <w:jc w:val="both"/>
        <w:rPr>
          <w:rFonts w:ascii="Arial" w:hAnsi="Arial" w:cs="Arial"/>
          <w:sz w:val="22"/>
          <w:szCs w:val="22"/>
        </w:rPr>
      </w:pPr>
    </w:p>
    <w:p w14:paraId="1BDB2641" w14:textId="77777777" w:rsidR="00CC020A" w:rsidRPr="00AB509B" w:rsidRDefault="00CC020A" w:rsidP="00AB509B">
      <w:pPr>
        <w:jc w:val="both"/>
        <w:rPr>
          <w:rFonts w:ascii="Arial" w:hAnsi="Arial" w:cs="Arial"/>
          <w:sz w:val="22"/>
          <w:szCs w:val="22"/>
        </w:rPr>
      </w:pPr>
    </w:p>
    <w:p w14:paraId="4F0D19A2" w14:textId="77777777" w:rsidR="00CC020A" w:rsidRPr="00AB509B" w:rsidRDefault="00BB2A28" w:rsidP="00EA703A">
      <w:pPr>
        <w:pStyle w:val="Paragraphedeliste"/>
        <w:numPr>
          <w:ilvl w:val="0"/>
          <w:numId w:val="2"/>
        </w:numPr>
        <w:rPr>
          <w:rFonts w:cs="Arial"/>
          <w:b/>
          <w:bCs/>
          <w:sz w:val="22"/>
        </w:rPr>
      </w:pPr>
      <w:r w:rsidRPr="00AB509B">
        <w:rPr>
          <w:rFonts w:cs="Arial"/>
          <w:b/>
          <w:bCs/>
          <w:sz w:val="22"/>
        </w:rPr>
        <w:t xml:space="preserve">Le temps de la documentation </w:t>
      </w:r>
    </w:p>
    <w:p w14:paraId="4282ECED" w14:textId="77777777" w:rsidR="00CC020A" w:rsidRPr="00AB509B" w:rsidRDefault="00CC020A" w:rsidP="00AB509B">
      <w:pPr>
        <w:jc w:val="both"/>
        <w:rPr>
          <w:rFonts w:ascii="Arial" w:hAnsi="Arial" w:cs="Arial"/>
          <w:sz w:val="22"/>
          <w:szCs w:val="22"/>
        </w:rPr>
      </w:pPr>
    </w:p>
    <w:p w14:paraId="6CCEC258" w14:textId="7FEF2915" w:rsidR="00BB2A28" w:rsidRPr="00AB509B" w:rsidRDefault="00CC020A" w:rsidP="00AB509B">
      <w:pPr>
        <w:jc w:val="both"/>
        <w:rPr>
          <w:rFonts w:ascii="Arial" w:hAnsi="Arial" w:cs="Arial"/>
          <w:sz w:val="22"/>
          <w:szCs w:val="22"/>
        </w:rPr>
      </w:pPr>
      <w:r w:rsidRPr="00AB509B">
        <w:rPr>
          <w:rFonts w:ascii="Arial" w:hAnsi="Arial" w:cs="Arial"/>
          <w:sz w:val="22"/>
          <w:szCs w:val="22"/>
        </w:rPr>
        <w:t xml:space="preserve">Il </w:t>
      </w:r>
      <w:r w:rsidR="00BB2A28" w:rsidRPr="00AB509B">
        <w:rPr>
          <w:rFonts w:ascii="Arial" w:hAnsi="Arial" w:cs="Arial"/>
          <w:sz w:val="22"/>
          <w:szCs w:val="22"/>
        </w:rPr>
        <w:t xml:space="preserve">doit avoir lieu après l'information </w:t>
      </w:r>
      <w:r w:rsidRPr="00AB509B">
        <w:rPr>
          <w:rFonts w:ascii="Arial" w:hAnsi="Arial" w:cs="Arial"/>
          <w:sz w:val="22"/>
          <w:szCs w:val="22"/>
        </w:rPr>
        <w:t>et</w:t>
      </w:r>
      <w:r w:rsidR="00BB2A28" w:rsidRPr="00AB509B">
        <w:rPr>
          <w:rFonts w:ascii="Arial" w:hAnsi="Arial" w:cs="Arial"/>
          <w:sz w:val="22"/>
          <w:szCs w:val="22"/>
        </w:rPr>
        <w:t xml:space="preserve"> le consentement. </w:t>
      </w:r>
    </w:p>
    <w:p w14:paraId="530296C4" w14:textId="6310886F" w:rsidR="00BB2A28" w:rsidRPr="00AB509B" w:rsidRDefault="00BB2A28" w:rsidP="00AB509B">
      <w:pPr>
        <w:jc w:val="both"/>
        <w:rPr>
          <w:rFonts w:ascii="Arial" w:hAnsi="Arial" w:cs="Arial"/>
          <w:sz w:val="22"/>
          <w:szCs w:val="22"/>
        </w:rPr>
      </w:pPr>
    </w:p>
    <w:p w14:paraId="0C4EE451" w14:textId="77777777" w:rsidR="00AB509B" w:rsidRPr="00AB509B" w:rsidRDefault="00AB509B" w:rsidP="00AB509B">
      <w:pPr>
        <w:jc w:val="both"/>
        <w:rPr>
          <w:rFonts w:ascii="Arial" w:hAnsi="Arial" w:cs="Arial"/>
          <w:sz w:val="22"/>
          <w:szCs w:val="22"/>
        </w:rPr>
      </w:pPr>
    </w:p>
    <w:p w14:paraId="105B887A" w14:textId="42ADF43A" w:rsidR="00AB509B" w:rsidRPr="00AB509B" w:rsidRDefault="00AB509B" w:rsidP="00EA703A">
      <w:pPr>
        <w:pStyle w:val="Paragraphedeliste"/>
        <w:numPr>
          <w:ilvl w:val="0"/>
          <w:numId w:val="2"/>
        </w:numPr>
        <w:rPr>
          <w:rFonts w:cs="Arial"/>
          <w:b/>
          <w:bCs/>
          <w:sz w:val="22"/>
        </w:rPr>
      </w:pPr>
      <w:r w:rsidRPr="00AB509B">
        <w:rPr>
          <w:rFonts w:cs="Arial"/>
          <w:b/>
          <w:bCs/>
          <w:sz w:val="22"/>
        </w:rPr>
        <w:t xml:space="preserve">Divers </w:t>
      </w:r>
    </w:p>
    <w:p w14:paraId="78822EF3" w14:textId="77777777" w:rsidR="00AB509B" w:rsidRPr="00AB509B" w:rsidRDefault="00AB509B" w:rsidP="00AB509B">
      <w:pPr>
        <w:jc w:val="both"/>
        <w:rPr>
          <w:rFonts w:ascii="Arial" w:hAnsi="Arial" w:cs="Arial"/>
          <w:sz w:val="22"/>
          <w:szCs w:val="22"/>
        </w:rPr>
      </w:pPr>
    </w:p>
    <w:p w14:paraId="3EBF0C0D" w14:textId="5F1A537F" w:rsidR="00BB2A28" w:rsidRPr="00AB509B" w:rsidRDefault="00BB2A28" w:rsidP="00AB509B">
      <w:pPr>
        <w:jc w:val="both"/>
        <w:rPr>
          <w:rFonts w:ascii="Arial" w:hAnsi="Arial" w:cs="Arial"/>
          <w:sz w:val="22"/>
          <w:szCs w:val="22"/>
        </w:rPr>
      </w:pPr>
      <w:r w:rsidRPr="00AB509B">
        <w:rPr>
          <w:rFonts w:ascii="Arial" w:hAnsi="Arial" w:cs="Arial"/>
          <w:sz w:val="22"/>
          <w:szCs w:val="22"/>
        </w:rPr>
        <w:t xml:space="preserve">L'urgence constitue selon Prof. </w:t>
      </w:r>
      <w:proofErr w:type="spellStart"/>
      <w:r w:rsidRPr="00AB509B">
        <w:rPr>
          <w:rFonts w:ascii="Arial" w:hAnsi="Arial" w:cs="Arial"/>
          <w:sz w:val="22"/>
          <w:szCs w:val="22"/>
        </w:rPr>
        <w:t>Guillod</w:t>
      </w:r>
      <w:proofErr w:type="spellEnd"/>
      <w:r w:rsidRPr="00AB509B">
        <w:rPr>
          <w:rFonts w:ascii="Arial" w:hAnsi="Arial" w:cs="Arial"/>
          <w:sz w:val="22"/>
          <w:szCs w:val="22"/>
        </w:rPr>
        <w:t xml:space="preserve"> l'hypothèse la plus souvent mentionnée pour justifier une limitation du devoir d'informer. On peut la définir comme une situation dans laquelle une action immédiate du professionnel de la santé est le seul moyen d'éviter une atteinte grave et imminente à la vie ou à la santé du patient. </w:t>
      </w:r>
    </w:p>
    <w:p w14:paraId="423E1EF9" w14:textId="77777777" w:rsidR="00BB2A28" w:rsidRPr="00AB509B" w:rsidRDefault="00BB2A28" w:rsidP="00AB509B">
      <w:pPr>
        <w:jc w:val="both"/>
        <w:rPr>
          <w:rFonts w:ascii="Arial" w:hAnsi="Arial" w:cs="Arial"/>
          <w:sz w:val="22"/>
          <w:szCs w:val="22"/>
        </w:rPr>
      </w:pPr>
    </w:p>
    <w:p w14:paraId="2CCFC3EF" w14:textId="16AB9508" w:rsidR="00BB2A28" w:rsidRPr="00AB509B" w:rsidRDefault="00BB2A28" w:rsidP="00AB509B">
      <w:pPr>
        <w:jc w:val="both"/>
        <w:rPr>
          <w:rFonts w:ascii="Arial" w:hAnsi="Arial" w:cs="Arial"/>
          <w:sz w:val="22"/>
          <w:szCs w:val="22"/>
        </w:rPr>
      </w:pPr>
      <w:r w:rsidRPr="00AB509B">
        <w:rPr>
          <w:rFonts w:ascii="Arial" w:hAnsi="Arial" w:cs="Arial"/>
          <w:b/>
          <w:bCs/>
          <w:sz w:val="22"/>
          <w:szCs w:val="22"/>
        </w:rPr>
        <w:t xml:space="preserve">Art. 8 </w:t>
      </w:r>
      <w:r w:rsidR="00AB509B" w:rsidRPr="00AB509B">
        <w:rPr>
          <w:rFonts w:ascii="Arial" w:hAnsi="Arial" w:cs="Arial"/>
          <w:b/>
          <w:bCs/>
          <w:sz w:val="22"/>
          <w:szCs w:val="22"/>
        </w:rPr>
        <w:t>C</w:t>
      </w:r>
      <w:r w:rsidRPr="00AB509B">
        <w:rPr>
          <w:rFonts w:ascii="Arial" w:hAnsi="Arial" w:cs="Arial"/>
          <w:b/>
          <w:bCs/>
          <w:sz w:val="22"/>
          <w:szCs w:val="22"/>
        </w:rPr>
        <w:t>onvention d'Oviedo</w:t>
      </w:r>
      <w:r w:rsidRPr="00AB509B">
        <w:rPr>
          <w:rFonts w:ascii="Arial" w:hAnsi="Arial" w:cs="Arial"/>
          <w:sz w:val="22"/>
          <w:szCs w:val="22"/>
        </w:rPr>
        <w:t xml:space="preserve"> </w:t>
      </w:r>
      <w:r w:rsidR="00AB509B" w:rsidRPr="00AB509B">
        <w:rPr>
          <w:rFonts w:ascii="Arial" w:hAnsi="Arial" w:cs="Arial"/>
          <w:sz w:val="22"/>
          <w:szCs w:val="22"/>
        </w:rPr>
        <w:t xml:space="preserve">(Convention pour la protection des droits de l’Homme et de la dignité de l’être humain à l’égard des applications de la biologie et de la médecine, RS 810.2) </w:t>
      </w:r>
      <w:r w:rsidRPr="00AB509B">
        <w:rPr>
          <w:rFonts w:ascii="Arial" w:hAnsi="Arial" w:cs="Arial"/>
          <w:sz w:val="22"/>
          <w:szCs w:val="22"/>
        </w:rPr>
        <w:t xml:space="preserve">permets en cas d'urgence de procéder immédiatement à toute intervention médicalement indispensable pour le bénéfice </w:t>
      </w:r>
      <w:r w:rsidR="00AB509B" w:rsidRPr="00AB509B">
        <w:rPr>
          <w:rFonts w:ascii="Arial" w:hAnsi="Arial" w:cs="Arial"/>
          <w:sz w:val="22"/>
          <w:szCs w:val="22"/>
        </w:rPr>
        <w:t>de la personne concernée</w:t>
      </w:r>
      <w:r w:rsidRPr="00AB509B">
        <w:rPr>
          <w:rFonts w:ascii="Arial" w:hAnsi="Arial" w:cs="Arial"/>
          <w:sz w:val="22"/>
          <w:szCs w:val="22"/>
        </w:rPr>
        <w:t xml:space="preserve">. </w:t>
      </w:r>
    </w:p>
    <w:p w14:paraId="6D61FAAA" w14:textId="77777777" w:rsidR="00AB509B" w:rsidRPr="00AB509B" w:rsidRDefault="00AB509B" w:rsidP="00AB509B">
      <w:pPr>
        <w:pStyle w:val="Paragraphedeliste"/>
        <w:rPr>
          <w:rFonts w:cs="Arial"/>
          <w:sz w:val="22"/>
          <w:u w:val="single"/>
          <w:lang w:val="fr-CH"/>
        </w:rPr>
      </w:pPr>
    </w:p>
    <w:p w14:paraId="399C6C76" w14:textId="4EB1F72E" w:rsidR="00BB2A28" w:rsidRPr="00AB509B" w:rsidRDefault="00BB2A28" w:rsidP="00AB509B">
      <w:pPr>
        <w:jc w:val="both"/>
        <w:rPr>
          <w:rFonts w:ascii="Arial" w:hAnsi="Arial" w:cs="Arial"/>
          <w:sz w:val="22"/>
          <w:szCs w:val="22"/>
        </w:rPr>
      </w:pPr>
      <w:r w:rsidRPr="00AB509B">
        <w:rPr>
          <w:rFonts w:ascii="Arial" w:hAnsi="Arial" w:cs="Arial"/>
          <w:b/>
          <w:bCs/>
          <w:sz w:val="22"/>
          <w:szCs w:val="22"/>
        </w:rPr>
        <w:t>Art. 379 CC</w:t>
      </w:r>
      <w:r w:rsidR="00AB509B" w:rsidRPr="00AB509B">
        <w:rPr>
          <w:rFonts w:ascii="Arial" w:hAnsi="Arial" w:cs="Arial"/>
          <w:sz w:val="22"/>
          <w:szCs w:val="22"/>
        </w:rPr>
        <w:t xml:space="preserve"> : </w:t>
      </w:r>
      <w:r w:rsidRPr="00AB509B">
        <w:rPr>
          <w:rFonts w:ascii="Arial" w:hAnsi="Arial" w:cs="Arial"/>
          <w:sz w:val="22"/>
          <w:szCs w:val="22"/>
        </w:rPr>
        <w:t xml:space="preserve">patient incapable de discernement </w:t>
      </w:r>
      <w:r w:rsidR="00AB509B" w:rsidRPr="00AB509B">
        <w:rPr>
          <w:rFonts w:ascii="Arial" w:hAnsi="Arial" w:cs="Arial"/>
          <w:sz w:val="22"/>
          <w:szCs w:val="22"/>
        </w:rPr>
        <w:t>ayant un</w:t>
      </w:r>
      <w:r w:rsidRPr="00AB509B">
        <w:rPr>
          <w:rFonts w:ascii="Arial" w:hAnsi="Arial" w:cs="Arial"/>
          <w:sz w:val="22"/>
          <w:szCs w:val="22"/>
        </w:rPr>
        <w:t xml:space="preserve"> besoins urgent de soins. Il convient alors au soignant d'administrer les soins "conformément à la volonté présumée et aux intérêts de la personne"</w:t>
      </w:r>
    </w:p>
    <w:p w14:paraId="63DA02C9" w14:textId="77777777" w:rsidR="00AB509B" w:rsidRPr="00AB509B" w:rsidRDefault="00AB509B" w:rsidP="00AB509B">
      <w:pPr>
        <w:pStyle w:val="Paragraphedeliste"/>
        <w:rPr>
          <w:rFonts w:cs="Arial"/>
          <w:sz w:val="22"/>
          <w:u w:val="single"/>
          <w:lang w:val="fr-CH"/>
        </w:rPr>
      </w:pPr>
    </w:p>
    <w:p w14:paraId="40F9AD07" w14:textId="4F810D60" w:rsidR="00BB2A28" w:rsidRPr="00AB509B" w:rsidRDefault="00BB2A28" w:rsidP="00AB509B">
      <w:pPr>
        <w:jc w:val="both"/>
        <w:rPr>
          <w:rFonts w:ascii="Arial" w:hAnsi="Arial" w:cs="Arial"/>
          <w:sz w:val="22"/>
          <w:szCs w:val="22"/>
        </w:rPr>
      </w:pPr>
      <w:r w:rsidRPr="00AB509B">
        <w:rPr>
          <w:rFonts w:ascii="Arial" w:hAnsi="Arial" w:cs="Arial"/>
          <w:b/>
          <w:bCs/>
          <w:sz w:val="22"/>
          <w:szCs w:val="22"/>
        </w:rPr>
        <w:t>Art 435 CC</w:t>
      </w:r>
      <w:r w:rsidRPr="00AB509B">
        <w:rPr>
          <w:rFonts w:ascii="Arial" w:hAnsi="Arial" w:cs="Arial"/>
          <w:sz w:val="22"/>
          <w:szCs w:val="22"/>
        </w:rPr>
        <w:t xml:space="preserve"> prévoit la situation placée à des fins d'assistances en raison de troubles psychiques et ayant besoins de soins pour ces troubles. Il est alors permis d'administrer immédiatement "les soins médicaux indispensables", "si la protection de la personne ou celle d'autrui l'exige". Ce, en demandant à l'institution de prendre en considération la volonté connue du patient. </w:t>
      </w:r>
    </w:p>
    <w:p w14:paraId="0073C038" w14:textId="77777777" w:rsidR="00AB509B" w:rsidRPr="00AB509B" w:rsidRDefault="00AB509B" w:rsidP="00AB509B">
      <w:pPr>
        <w:jc w:val="both"/>
        <w:rPr>
          <w:rFonts w:ascii="Arial" w:hAnsi="Arial" w:cs="Arial"/>
          <w:sz w:val="22"/>
          <w:szCs w:val="22"/>
          <w:u w:val="single"/>
        </w:rPr>
      </w:pPr>
    </w:p>
    <w:p w14:paraId="456FCE4B" w14:textId="594C3F13" w:rsidR="00BB2A28" w:rsidRPr="00AB509B" w:rsidRDefault="00BB2A28" w:rsidP="00AB509B">
      <w:pPr>
        <w:jc w:val="both"/>
        <w:rPr>
          <w:rFonts w:ascii="Arial" w:hAnsi="Arial" w:cs="Arial"/>
          <w:sz w:val="22"/>
          <w:szCs w:val="22"/>
        </w:rPr>
      </w:pPr>
      <w:r w:rsidRPr="00AB509B">
        <w:rPr>
          <w:rFonts w:ascii="Arial" w:hAnsi="Arial" w:cs="Arial"/>
          <w:sz w:val="22"/>
          <w:szCs w:val="22"/>
        </w:rPr>
        <w:t>Les loi</w:t>
      </w:r>
      <w:r w:rsidR="00AB509B" w:rsidRPr="00AB509B">
        <w:rPr>
          <w:rFonts w:ascii="Arial" w:hAnsi="Arial" w:cs="Arial"/>
          <w:sz w:val="22"/>
          <w:szCs w:val="22"/>
        </w:rPr>
        <w:t>s</w:t>
      </w:r>
      <w:r w:rsidRPr="00AB509B">
        <w:rPr>
          <w:rFonts w:ascii="Arial" w:hAnsi="Arial" w:cs="Arial"/>
          <w:sz w:val="22"/>
          <w:szCs w:val="22"/>
        </w:rPr>
        <w:t xml:space="preserve"> cantonales</w:t>
      </w:r>
      <w:r w:rsidRPr="00AB509B">
        <w:rPr>
          <w:rFonts w:ascii="Arial" w:hAnsi="Arial" w:cs="Arial"/>
          <w:sz w:val="22"/>
          <w:szCs w:val="22"/>
          <w:u w:val="single"/>
        </w:rPr>
        <w:t xml:space="preserve"> </w:t>
      </w:r>
      <w:r w:rsidRPr="00AB509B">
        <w:rPr>
          <w:rFonts w:ascii="Arial" w:hAnsi="Arial" w:cs="Arial"/>
          <w:sz w:val="22"/>
          <w:szCs w:val="22"/>
        </w:rPr>
        <w:t xml:space="preserve">contiennent parfois une disposition en cas d'urgence. Genève et Valais précisent que le médecin agit conformément à la volonté présumée du patient. </w:t>
      </w:r>
    </w:p>
    <w:p w14:paraId="70DCD627" w14:textId="77777777" w:rsidR="00AB509B" w:rsidRPr="00AB509B" w:rsidRDefault="00AB509B" w:rsidP="00AB509B">
      <w:pPr>
        <w:jc w:val="both"/>
        <w:rPr>
          <w:rFonts w:ascii="Arial" w:hAnsi="Arial" w:cs="Arial"/>
          <w:sz w:val="22"/>
          <w:szCs w:val="22"/>
        </w:rPr>
      </w:pPr>
    </w:p>
    <w:p w14:paraId="298BE8DB" w14:textId="7C47FDB4" w:rsidR="00BB2A28" w:rsidRPr="00AB509B" w:rsidRDefault="00BB2A28" w:rsidP="00AB509B">
      <w:pPr>
        <w:jc w:val="both"/>
        <w:rPr>
          <w:rFonts w:ascii="Arial" w:hAnsi="Arial" w:cs="Arial"/>
          <w:sz w:val="22"/>
          <w:szCs w:val="22"/>
        </w:rPr>
      </w:pPr>
      <w:r w:rsidRPr="00AB509B">
        <w:rPr>
          <w:rFonts w:ascii="Arial" w:hAnsi="Arial" w:cs="Arial"/>
          <w:sz w:val="22"/>
          <w:szCs w:val="22"/>
        </w:rPr>
        <w:t xml:space="preserve">Le consentement éclairé doit être compris </w:t>
      </w:r>
      <w:r w:rsidR="00191DEF" w:rsidRPr="00AB509B">
        <w:rPr>
          <w:rFonts w:ascii="Arial" w:hAnsi="Arial" w:cs="Arial"/>
          <w:sz w:val="22"/>
          <w:szCs w:val="22"/>
        </w:rPr>
        <w:t>comme</w:t>
      </w:r>
      <w:r w:rsidRPr="00AB509B">
        <w:rPr>
          <w:rFonts w:ascii="Arial" w:hAnsi="Arial" w:cs="Arial"/>
          <w:sz w:val="22"/>
          <w:szCs w:val="22"/>
        </w:rPr>
        <w:t xml:space="preserve"> un échange entre le médecin et son patient, ce qui sous-entend une participation réciproque" TF 4C 427/1999</w:t>
      </w:r>
    </w:p>
    <w:p w14:paraId="791651BA" w14:textId="77777777" w:rsidR="00F70B57" w:rsidRPr="00AB509B" w:rsidRDefault="00F70B57" w:rsidP="00AB509B">
      <w:pPr>
        <w:pStyle w:val="Paragraphedeliste"/>
        <w:ind w:left="0"/>
        <w:rPr>
          <w:rFonts w:cs="Arial"/>
          <w:sz w:val="22"/>
          <w:lang w:val="fr-CH"/>
        </w:rPr>
      </w:pPr>
    </w:p>
    <w:sectPr w:rsidR="00F70B57" w:rsidRPr="00AB509B"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2E441" w14:textId="77777777" w:rsidR="00EA703A" w:rsidRDefault="00EA703A" w:rsidP="0012550F">
      <w:r>
        <w:separator/>
      </w:r>
    </w:p>
  </w:endnote>
  <w:endnote w:type="continuationSeparator" w:id="0">
    <w:p w14:paraId="57AE86EA" w14:textId="77777777" w:rsidR="00EA703A" w:rsidRDefault="00EA703A"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8775EB" w:rsidRDefault="008775EB">
        <w:pPr>
          <w:pStyle w:val="Pieddepage"/>
          <w:jc w:val="right"/>
        </w:pPr>
        <w:r>
          <w:fldChar w:fldCharType="begin"/>
        </w:r>
        <w:r>
          <w:instrText>PAGE   \* MERGEFORMAT</w:instrText>
        </w:r>
        <w:r>
          <w:fldChar w:fldCharType="separate"/>
        </w:r>
        <w:r>
          <w:t>2</w:t>
        </w:r>
        <w:r>
          <w:fldChar w:fldCharType="end"/>
        </w:r>
      </w:p>
    </w:sdtContent>
  </w:sdt>
  <w:p w14:paraId="342ADBBD" w14:textId="77777777" w:rsidR="008775EB" w:rsidRDefault="00877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2D99B" w14:textId="77777777" w:rsidR="00EA703A" w:rsidRDefault="00EA703A" w:rsidP="0012550F">
      <w:r>
        <w:separator/>
      </w:r>
    </w:p>
  </w:footnote>
  <w:footnote w:type="continuationSeparator" w:id="0">
    <w:p w14:paraId="4FAC35ED" w14:textId="77777777" w:rsidR="00EA703A" w:rsidRDefault="00EA703A"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F8C7" w14:textId="6D702D78" w:rsidR="008775EB" w:rsidRPr="00506BB0" w:rsidRDefault="00506BB0" w:rsidP="00BB2A28">
    <w:pPr>
      <w:pStyle w:val="En-tte"/>
      <w:ind w:left="4962"/>
      <w:jc w:val="right"/>
      <w:rPr>
        <w:szCs w:val="20"/>
        <w:lang w:val="fr-CH"/>
      </w:rPr>
    </w:pPr>
    <w:r w:rsidRPr="00506BB0">
      <w:rPr>
        <w:szCs w:val="20"/>
        <w:lang w:val="fr-CH"/>
      </w:rPr>
      <w:t>CAS droit des patients et santé publi</w:t>
    </w:r>
    <w:r w:rsidR="00BB2A28">
      <w:rPr>
        <w:szCs w:val="20"/>
        <w:lang w:val="fr-CH"/>
      </w:rPr>
      <w:t>que</w:t>
    </w:r>
    <w:r w:rsidRPr="00506BB0">
      <w:rPr>
        <w:szCs w:val="20"/>
        <w:lang w:val="fr-CH"/>
      </w:rPr>
      <w:t xml:space="preserve"> </w:t>
    </w:r>
  </w:p>
  <w:p w14:paraId="434A99B1" w14:textId="70BC116F" w:rsidR="00506BB0" w:rsidRPr="00506BB0" w:rsidRDefault="00506BB0" w:rsidP="00506BB0">
    <w:pPr>
      <w:pStyle w:val="En-tte"/>
      <w:ind w:left="5664"/>
      <w:jc w:val="right"/>
      <w:rPr>
        <w:szCs w:val="20"/>
        <w:lang w:val="fr-CH"/>
      </w:rPr>
    </w:pPr>
    <w:r w:rsidRPr="00506BB0">
      <w:rPr>
        <w:szCs w:val="20"/>
        <w:lang w:val="fr-CH"/>
      </w:rPr>
      <w:t xml:space="preserve">Oral no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02ABC"/>
    <w:multiLevelType w:val="hybridMultilevel"/>
    <w:tmpl w:val="383A7BDA"/>
    <w:lvl w:ilvl="0" w:tplc="A6D84D62">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FB17748"/>
    <w:multiLevelType w:val="hybridMultilevel"/>
    <w:tmpl w:val="B846C600"/>
    <w:lvl w:ilvl="0" w:tplc="A6905804">
      <w:start w:val="1"/>
      <w:numFmt w:val="decimal"/>
      <w:lvlText w:val="%1."/>
      <w:lvlJc w:val="left"/>
      <w:pPr>
        <w:ind w:left="360" w:hanging="360"/>
      </w:pPr>
      <w:rPr>
        <w:rFonts w:ascii="Times New Roman" w:eastAsia="Times New Roman" w:hAnsi="Times New Roman"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35E77C9"/>
    <w:multiLevelType w:val="hybridMultilevel"/>
    <w:tmpl w:val="098A77D2"/>
    <w:lvl w:ilvl="0" w:tplc="23724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E2728F"/>
    <w:multiLevelType w:val="hybridMultilevel"/>
    <w:tmpl w:val="6992A6B0"/>
    <w:lvl w:ilvl="0" w:tplc="7FF6A0D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AF6E59"/>
    <w:multiLevelType w:val="hybridMultilevel"/>
    <w:tmpl w:val="7BE2316C"/>
    <w:lvl w:ilvl="0" w:tplc="696847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3745D9"/>
    <w:multiLevelType w:val="hybridMultilevel"/>
    <w:tmpl w:val="EF9E299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3"/>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1048A"/>
    <w:rsid w:val="00056E43"/>
    <w:rsid w:val="000A3ADF"/>
    <w:rsid w:val="000C70C5"/>
    <w:rsid w:val="000C7FB6"/>
    <w:rsid w:val="000D069C"/>
    <w:rsid w:val="000F347B"/>
    <w:rsid w:val="00103F30"/>
    <w:rsid w:val="0010472D"/>
    <w:rsid w:val="00113F51"/>
    <w:rsid w:val="0012550F"/>
    <w:rsid w:val="00130EEC"/>
    <w:rsid w:val="001432FF"/>
    <w:rsid w:val="00156D01"/>
    <w:rsid w:val="00176D6D"/>
    <w:rsid w:val="00187A99"/>
    <w:rsid w:val="00191DEF"/>
    <w:rsid w:val="0019447D"/>
    <w:rsid w:val="001C30FC"/>
    <w:rsid w:val="0025518A"/>
    <w:rsid w:val="00296B52"/>
    <w:rsid w:val="002D08F3"/>
    <w:rsid w:val="002D238C"/>
    <w:rsid w:val="002E20FF"/>
    <w:rsid w:val="003530C7"/>
    <w:rsid w:val="00361700"/>
    <w:rsid w:val="00365857"/>
    <w:rsid w:val="003965B7"/>
    <w:rsid w:val="003B66AE"/>
    <w:rsid w:val="003C5DC7"/>
    <w:rsid w:val="00416B9D"/>
    <w:rsid w:val="00417093"/>
    <w:rsid w:val="00420794"/>
    <w:rsid w:val="00421D02"/>
    <w:rsid w:val="00435E1D"/>
    <w:rsid w:val="0045284D"/>
    <w:rsid w:val="00465BCB"/>
    <w:rsid w:val="0047066A"/>
    <w:rsid w:val="004820BC"/>
    <w:rsid w:val="004A1F67"/>
    <w:rsid w:val="004B2EB7"/>
    <w:rsid w:val="004C47F7"/>
    <w:rsid w:val="00506BB0"/>
    <w:rsid w:val="0051107E"/>
    <w:rsid w:val="00513A24"/>
    <w:rsid w:val="00523F74"/>
    <w:rsid w:val="00537C7A"/>
    <w:rsid w:val="00540590"/>
    <w:rsid w:val="00543737"/>
    <w:rsid w:val="00545BC6"/>
    <w:rsid w:val="005A6D6A"/>
    <w:rsid w:val="005B1110"/>
    <w:rsid w:val="005B477D"/>
    <w:rsid w:val="005C66B9"/>
    <w:rsid w:val="00601DF2"/>
    <w:rsid w:val="006405DD"/>
    <w:rsid w:val="00665C51"/>
    <w:rsid w:val="00673D8F"/>
    <w:rsid w:val="006B3D80"/>
    <w:rsid w:val="006B77FD"/>
    <w:rsid w:val="006E35B0"/>
    <w:rsid w:val="006F2B42"/>
    <w:rsid w:val="00703BCD"/>
    <w:rsid w:val="00706C2C"/>
    <w:rsid w:val="0072425F"/>
    <w:rsid w:val="0073454E"/>
    <w:rsid w:val="00741C4C"/>
    <w:rsid w:val="00783BF4"/>
    <w:rsid w:val="007A1303"/>
    <w:rsid w:val="007A6945"/>
    <w:rsid w:val="007B3EC9"/>
    <w:rsid w:val="007E0489"/>
    <w:rsid w:val="007F5D27"/>
    <w:rsid w:val="008775EB"/>
    <w:rsid w:val="008F2D5D"/>
    <w:rsid w:val="00904BA3"/>
    <w:rsid w:val="009608BD"/>
    <w:rsid w:val="009A4744"/>
    <w:rsid w:val="009E70D3"/>
    <w:rsid w:val="00A153B6"/>
    <w:rsid w:val="00A15F1C"/>
    <w:rsid w:val="00A16F26"/>
    <w:rsid w:val="00A23682"/>
    <w:rsid w:val="00AA738B"/>
    <w:rsid w:val="00AB509B"/>
    <w:rsid w:val="00AB7465"/>
    <w:rsid w:val="00B06073"/>
    <w:rsid w:val="00B201FD"/>
    <w:rsid w:val="00B37551"/>
    <w:rsid w:val="00B40180"/>
    <w:rsid w:val="00B75B90"/>
    <w:rsid w:val="00BB2A28"/>
    <w:rsid w:val="00BE2AC7"/>
    <w:rsid w:val="00C25C98"/>
    <w:rsid w:val="00C96626"/>
    <w:rsid w:val="00CB0601"/>
    <w:rsid w:val="00CC020A"/>
    <w:rsid w:val="00CF1992"/>
    <w:rsid w:val="00CF44D4"/>
    <w:rsid w:val="00D05C63"/>
    <w:rsid w:val="00D118DF"/>
    <w:rsid w:val="00D141E4"/>
    <w:rsid w:val="00D55824"/>
    <w:rsid w:val="00D82DD3"/>
    <w:rsid w:val="00DA77E7"/>
    <w:rsid w:val="00DC7F56"/>
    <w:rsid w:val="00DD1A5D"/>
    <w:rsid w:val="00DF0E17"/>
    <w:rsid w:val="00DF221D"/>
    <w:rsid w:val="00DF5C95"/>
    <w:rsid w:val="00E00C3C"/>
    <w:rsid w:val="00E01138"/>
    <w:rsid w:val="00E10422"/>
    <w:rsid w:val="00E34623"/>
    <w:rsid w:val="00E45730"/>
    <w:rsid w:val="00E55FE3"/>
    <w:rsid w:val="00E578F5"/>
    <w:rsid w:val="00E86F72"/>
    <w:rsid w:val="00E968FE"/>
    <w:rsid w:val="00EA703A"/>
    <w:rsid w:val="00EB5C74"/>
    <w:rsid w:val="00EC1AC4"/>
    <w:rsid w:val="00EE1877"/>
    <w:rsid w:val="00EE1E38"/>
    <w:rsid w:val="00EF437C"/>
    <w:rsid w:val="00F0113E"/>
    <w:rsid w:val="00F70B57"/>
    <w:rsid w:val="00F765C0"/>
    <w:rsid w:val="00FA6E0C"/>
    <w:rsid w:val="00FD4C0B"/>
    <w:rsid w:val="00FE3ED5"/>
    <w:rsid w:val="00FE5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43"/>
    <w:pPr>
      <w:jc w:val="left"/>
    </w:pPr>
    <w:rPr>
      <w:rFonts w:ascii="Times New Roman" w:eastAsia="Times New Roman" w:hAnsi="Times New Roman" w:cs="Times New Roman"/>
      <w:sz w:val="24"/>
      <w:szCs w:val="24"/>
      <w:lang w:val="fr-CH" w:eastAsia="fr-FR"/>
    </w:rPr>
  </w:style>
  <w:style w:type="paragraph" w:styleId="Titre2">
    <w:name w:val="heading 2"/>
    <w:basedOn w:val="Normal"/>
    <w:next w:val="Normal"/>
    <w:link w:val="Titre2Car"/>
    <w:uiPriority w:val="9"/>
    <w:unhideWhenUsed/>
    <w:qFormat/>
    <w:rsid w:val="00BB2A28"/>
    <w:pPr>
      <w:keepNext/>
      <w:keepLines/>
      <w:spacing w:before="40"/>
      <w:outlineLvl w:val="1"/>
    </w:pPr>
    <w:rPr>
      <w:rFonts w:asciiTheme="majorHAnsi" w:eastAsiaTheme="majorEastAsia" w:hAnsiTheme="majorHAnsi" w:cstheme="majorBidi"/>
      <w:color w:val="2F5496" w:themeColor="accent1" w:themeShade="BF"/>
      <w:sz w:val="26"/>
      <w:szCs w:val="26"/>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jc w:val="both"/>
    </w:pPr>
    <w:rPr>
      <w:rFonts w:ascii="Arial" w:eastAsiaTheme="minorHAnsi" w:hAnsi="Arial" w:cstheme="minorBidi"/>
      <w:sz w:val="20"/>
      <w:szCs w:val="22"/>
      <w:lang w:val="fr-FR" w:eastAsia="en-US"/>
    </w:rPr>
  </w:style>
  <w:style w:type="paragraph" w:styleId="Notedebasdepage">
    <w:name w:val="footnote text"/>
    <w:basedOn w:val="Normal"/>
    <w:link w:val="NotedebasdepageCar"/>
    <w:uiPriority w:val="99"/>
    <w:semiHidden/>
    <w:unhideWhenUsed/>
    <w:rsid w:val="00E45730"/>
    <w:pPr>
      <w:jc w:val="both"/>
    </w:pPr>
    <w:rPr>
      <w:rFonts w:ascii="Arial" w:eastAsiaTheme="minorHAnsi" w:hAnsi="Arial" w:cstheme="minorBidi"/>
      <w:sz w:val="20"/>
      <w:szCs w:val="20"/>
      <w:lang w:val="fr-FR" w:eastAsia="en-US"/>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25518A"/>
    <w:rPr>
      <w:color w:val="0563C1" w:themeColor="hyperlink"/>
      <w:u w:val="single"/>
    </w:rPr>
  </w:style>
  <w:style w:type="character" w:styleId="Mentionnonrsolue">
    <w:name w:val="Unresolved Mention"/>
    <w:basedOn w:val="Policepardfaut"/>
    <w:uiPriority w:val="99"/>
    <w:semiHidden/>
    <w:unhideWhenUsed/>
    <w:rsid w:val="0025518A"/>
    <w:rPr>
      <w:color w:val="605E5C"/>
      <w:shd w:val="clear" w:color="auto" w:fill="E1DFDD"/>
    </w:rPr>
  </w:style>
  <w:style w:type="paragraph" w:styleId="NormalWeb">
    <w:name w:val="Normal (Web)"/>
    <w:basedOn w:val="Normal"/>
    <w:uiPriority w:val="99"/>
    <w:semiHidden/>
    <w:unhideWhenUsed/>
    <w:rsid w:val="00506BB0"/>
    <w:pPr>
      <w:spacing w:before="100" w:beforeAutospacing="1" w:after="100" w:afterAutospacing="1"/>
    </w:pPr>
  </w:style>
  <w:style w:type="character" w:customStyle="1" w:styleId="texte">
    <w:name w:val="texte"/>
    <w:basedOn w:val="Policepardfaut"/>
    <w:rsid w:val="00703BCD"/>
  </w:style>
  <w:style w:type="character" w:customStyle="1" w:styleId="Titre2Car">
    <w:name w:val="Titre 2 Car"/>
    <w:basedOn w:val="Policepardfaut"/>
    <w:link w:val="Titre2"/>
    <w:uiPriority w:val="9"/>
    <w:rsid w:val="00BB2A28"/>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265371">
      <w:bodyDiv w:val="1"/>
      <w:marLeft w:val="0"/>
      <w:marRight w:val="0"/>
      <w:marTop w:val="0"/>
      <w:marBottom w:val="0"/>
      <w:divBdr>
        <w:top w:val="none" w:sz="0" w:space="0" w:color="auto"/>
        <w:left w:val="none" w:sz="0" w:space="0" w:color="auto"/>
        <w:bottom w:val="none" w:sz="0" w:space="0" w:color="auto"/>
        <w:right w:val="none" w:sz="0" w:space="0" w:color="auto"/>
      </w:divBdr>
    </w:div>
    <w:div w:id="743575070">
      <w:bodyDiv w:val="1"/>
      <w:marLeft w:val="0"/>
      <w:marRight w:val="0"/>
      <w:marTop w:val="0"/>
      <w:marBottom w:val="0"/>
      <w:divBdr>
        <w:top w:val="none" w:sz="0" w:space="0" w:color="auto"/>
        <w:left w:val="none" w:sz="0" w:space="0" w:color="auto"/>
        <w:bottom w:val="none" w:sz="0" w:space="0" w:color="auto"/>
        <w:right w:val="none" w:sz="0" w:space="0" w:color="auto"/>
      </w:divBdr>
    </w:div>
    <w:div w:id="1030373279">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585913170">
      <w:bodyDiv w:val="1"/>
      <w:marLeft w:val="0"/>
      <w:marRight w:val="0"/>
      <w:marTop w:val="0"/>
      <w:marBottom w:val="0"/>
      <w:divBdr>
        <w:top w:val="none" w:sz="0" w:space="0" w:color="auto"/>
        <w:left w:val="none" w:sz="0" w:space="0" w:color="auto"/>
        <w:bottom w:val="none" w:sz="0" w:space="0" w:color="auto"/>
        <w:right w:val="none" w:sz="0" w:space="0" w:color="auto"/>
      </w:divBdr>
    </w:div>
    <w:div w:id="1997487014">
      <w:bodyDiv w:val="1"/>
      <w:marLeft w:val="0"/>
      <w:marRight w:val="0"/>
      <w:marTop w:val="0"/>
      <w:marBottom w:val="0"/>
      <w:divBdr>
        <w:top w:val="none" w:sz="0" w:space="0" w:color="auto"/>
        <w:left w:val="none" w:sz="0" w:space="0" w:color="auto"/>
        <w:bottom w:val="none" w:sz="0" w:space="0" w:color="auto"/>
        <w:right w:val="none" w:sz="0" w:space="0" w:color="auto"/>
      </w:divBdr>
      <w:divsChild>
        <w:div w:id="1654869591">
          <w:marLeft w:val="0"/>
          <w:marRight w:val="0"/>
          <w:marTop w:val="0"/>
          <w:marBottom w:val="0"/>
          <w:divBdr>
            <w:top w:val="none" w:sz="0" w:space="0" w:color="auto"/>
            <w:left w:val="none" w:sz="0" w:space="0" w:color="auto"/>
            <w:bottom w:val="none" w:sz="0" w:space="0" w:color="auto"/>
            <w:right w:val="none" w:sz="0" w:space="0" w:color="auto"/>
          </w:divBdr>
        </w:div>
      </w:divsChild>
    </w:div>
    <w:div w:id="2047946579">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7">
          <w:marLeft w:val="0"/>
          <w:marRight w:val="0"/>
          <w:marTop w:val="0"/>
          <w:marBottom w:val="0"/>
          <w:divBdr>
            <w:top w:val="none" w:sz="0" w:space="0" w:color="auto"/>
            <w:left w:val="none" w:sz="0" w:space="0" w:color="auto"/>
            <w:bottom w:val="none" w:sz="0" w:space="0" w:color="auto"/>
            <w:right w:val="none" w:sz="0" w:space="0" w:color="auto"/>
          </w:divBdr>
          <w:divsChild>
            <w:div w:id="618991757">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9314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Dossier médical &amp; droit d’accès</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5DA2738-E9FB-B347-9F08-089D3DFEFDDD}">
  <ds:schemaRefs>
    <ds:schemaRef ds:uri="http://schemas.openxmlformats.org/officeDocument/2006/bibliography"/>
  </ds:schemaRefs>
</ds:datastoreItem>
</file>

<file path=customXml/itemProps2.xml><?xml version="1.0" encoding="utf-8"?>
<ds:datastoreItem xmlns:ds="http://schemas.openxmlformats.org/officeDocument/2006/customXml" ds:itemID="{381417C3-FFFB-4CD2-B5B3-497CCFA7044D}"/>
</file>

<file path=customXml/itemProps3.xml><?xml version="1.0" encoding="utf-8"?>
<ds:datastoreItem xmlns:ds="http://schemas.openxmlformats.org/officeDocument/2006/customXml" ds:itemID="{1778618C-2A3C-4607-BF39-996A03190EAD}"/>
</file>

<file path=customXml/itemProps4.xml><?xml version="1.0" encoding="utf-8"?>
<ds:datastoreItem xmlns:ds="http://schemas.openxmlformats.org/officeDocument/2006/customXml" ds:itemID="{C5536107-973C-42C5-9B01-63FEE7E9D0C4}"/>
</file>

<file path=docProps/app.xml><?xml version="1.0" encoding="utf-8"?>
<Properties xmlns="http://schemas.openxmlformats.org/officeDocument/2006/extended-properties" xmlns:vt="http://schemas.openxmlformats.org/officeDocument/2006/docPropsVTypes">
  <Template>Normal.dotm</Template>
  <TotalTime>110</TotalTime>
  <Pages>3</Pages>
  <Words>871</Words>
  <Characters>4795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31</cp:revision>
  <cp:lastPrinted>2021-01-07T11:12:00Z</cp:lastPrinted>
  <dcterms:created xsi:type="dcterms:W3CDTF">2020-12-30T22:19:00Z</dcterms:created>
  <dcterms:modified xsi:type="dcterms:W3CDTF">2021-01-07T17:54:00Z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