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22FE" w:rsidRPr="00056E43" w:rsidRDefault="002C6BED" w:rsidP="006A22FE">
      <w:pPr>
        <w:jc w:val="both"/>
        <w:rPr>
          <w:rFonts w:ascii="Arial" w:hAnsi="Arial" w:cs="Arial"/>
          <w:b/>
          <w:bCs/>
          <w:caps/>
          <w:sz w:val="22"/>
          <w:szCs w:val="22"/>
        </w:rPr>
      </w:pPr>
      <w:r>
        <w:rPr>
          <w:rFonts w:ascii="Arial" w:hAnsi="Arial" w:cs="Arial"/>
          <w:b/>
          <w:bCs/>
          <w:caps/>
          <w:sz w:val="22"/>
          <w:szCs w:val="22"/>
        </w:rPr>
        <w:t>Directives anticipées</w:t>
      </w:r>
    </w:p>
    <w:p w:rsidR="006A22FE" w:rsidRPr="00056E43" w:rsidRDefault="006A22FE" w:rsidP="006A22FE">
      <w:pPr>
        <w:jc w:val="both"/>
        <w:rPr>
          <w:rFonts w:ascii="Arial" w:hAnsi="Arial" w:cs="Arial"/>
          <w:sz w:val="22"/>
          <w:szCs w:val="22"/>
        </w:rPr>
      </w:pPr>
    </w:p>
    <w:p w:rsidR="006A22FE" w:rsidRPr="00056E43" w:rsidRDefault="002C6BED" w:rsidP="006A22FE">
      <w:pPr>
        <w:pBdr>
          <w:bottom w:val="single" w:sz="12" w:space="1" w:color="auto"/>
        </w:pBdr>
        <w:jc w:val="both"/>
        <w:rPr>
          <w:rFonts w:ascii="Arial" w:hAnsi="Arial" w:cs="Arial"/>
          <w:b/>
          <w:bCs/>
          <w:smallCaps/>
          <w:sz w:val="22"/>
          <w:szCs w:val="22"/>
        </w:rPr>
      </w:pPr>
      <w:r>
        <w:rPr>
          <w:rFonts w:ascii="Arial" w:hAnsi="Arial" w:cs="Arial"/>
          <w:b/>
          <w:bCs/>
          <w:smallCaps/>
          <w:sz w:val="22"/>
          <w:szCs w:val="22"/>
        </w:rPr>
        <w:t>est-ce qu’un médecin doit toujours respecter les directives anticipées d’un patient ?</w:t>
      </w:r>
    </w:p>
    <w:p w:rsidR="006A22FE" w:rsidRPr="00056E43" w:rsidRDefault="006A22FE" w:rsidP="006A22FE">
      <w:pPr>
        <w:jc w:val="both"/>
        <w:rPr>
          <w:rFonts w:ascii="Arial" w:hAnsi="Arial" w:cs="Arial"/>
          <w:b/>
          <w:bCs/>
          <w:smallCaps/>
          <w:sz w:val="22"/>
          <w:szCs w:val="22"/>
        </w:rPr>
      </w:pPr>
    </w:p>
    <w:p w:rsidR="002C6BED" w:rsidRPr="00705353" w:rsidRDefault="002C6BED" w:rsidP="002C6BED">
      <w:pPr>
        <w:pStyle w:val="NormalWeb"/>
        <w:spacing w:before="0" w:beforeAutospacing="0" w:after="0" w:afterAutospacing="0"/>
        <w:jc w:val="both"/>
        <w:rPr>
          <w:rFonts w:ascii="Arial" w:hAnsi="Arial" w:cs="Arial"/>
          <w:i/>
          <w:iCs/>
          <w:sz w:val="22"/>
          <w:szCs w:val="22"/>
        </w:rPr>
      </w:pPr>
      <w:r w:rsidRPr="00705353">
        <w:rPr>
          <w:rFonts w:ascii="Arial" w:hAnsi="Arial" w:cs="Arial"/>
          <w:b/>
          <w:bCs/>
          <w:sz w:val="22"/>
          <w:szCs w:val="22"/>
        </w:rPr>
        <w:t>Sur le principe, oui</w:t>
      </w:r>
      <w:r w:rsidRPr="00705353">
        <w:rPr>
          <w:rFonts w:ascii="Arial" w:hAnsi="Arial" w:cs="Arial"/>
          <w:sz w:val="22"/>
          <w:szCs w:val="22"/>
        </w:rPr>
        <w:t>, comme le prévoit au demeurant l’art. 372 al. 2 CC : « </w:t>
      </w:r>
      <w:r w:rsidRPr="00705353">
        <w:rPr>
          <w:rFonts w:ascii="Arial" w:hAnsi="Arial" w:cs="Arial"/>
          <w:i/>
          <w:iCs/>
          <w:sz w:val="22"/>
          <w:szCs w:val="22"/>
        </w:rPr>
        <w:t xml:space="preserve">le médecin respecte les directives anticipées (…). </w:t>
      </w:r>
    </w:p>
    <w:p w:rsidR="002C6BED" w:rsidRPr="00705353" w:rsidRDefault="002C6BED" w:rsidP="002C6BED">
      <w:pPr>
        <w:pStyle w:val="NormalWeb"/>
        <w:spacing w:before="0" w:beforeAutospacing="0" w:after="0" w:afterAutospacing="0"/>
        <w:jc w:val="both"/>
        <w:rPr>
          <w:rFonts w:ascii="Arial" w:hAnsi="Arial" w:cs="Arial"/>
          <w:sz w:val="22"/>
          <w:szCs w:val="22"/>
        </w:rPr>
      </w:pPr>
    </w:p>
    <w:p w:rsidR="002C6BED" w:rsidRPr="00705353" w:rsidRDefault="002C6BED" w:rsidP="002C6BED">
      <w:pPr>
        <w:pStyle w:val="NormalWeb"/>
        <w:spacing w:before="0" w:beforeAutospacing="0" w:after="0" w:afterAutospacing="0"/>
        <w:jc w:val="both"/>
        <w:rPr>
          <w:rFonts w:ascii="Arial" w:hAnsi="Arial" w:cs="Arial"/>
          <w:sz w:val="22"/>
          <w:szCs w:val="22"/>
        </w:rPr>
      </w:pPr>
      <w:r w:rsidRPr="00705353">
        <w:rPr>
          <w:rFonts w:ascii="Arial" w:hAnsi="Arial" w:cs="Arial"/>
          <w:sz w:val="22"/>
          <w:szCs w:val="22"/>
        </w:rPr>
        <w:t xml:space="preserve">Ceci bien entendu à la condition que le patient soit incapable de discernement : les directives anticipées, comme le mandat au demeurant, n’entrent en force qu’en cas de perte, passagère ou définitive, de la capacité de discernement au sens de l’art. 16 CC. </w:t>
      </w:r>
    </w:p>
    <w:p w:rsidR="002C6BED" w:rsidRPr="00705353" w:rsidRDefault="002C6BED" w:rsidP="002C6BED">
      <w:pPr>
        <w:pStyle w:val="NormalWeb"/>
        <w:spacing w:before="0" w:beforeAutospacing="0" w:after="0" w:afterAutospacing="0"/>
        <w:jc w:val="both"/>
        <w:rPr>
          <w:rFonts w:ascii="Arial" w:hAnsi="Arial" w:cs="Arial"/>
          <w:sz w:val="22"/>
          <w:szCs w:val="22"/>
        </w:rPr>
      </w:pPr>
    </w:p>
    <w:p w:rsidR="002C6BED" w:rsidRPr="00705353" w:rsidRDefault="002C6BED" w:rsidP="002C6BED">
      <w:pPr>
        <w:pStyle w:val="NormalWeb"/>
        <w:spacing w:before="0" w:beforeAutospacing="0" w:after="0" w:afterAutospacing="0"/>
        <w:jc w:val="both"/>
        <w:rPr>
          <w:rFonts w:ascii="Arial" w:hAnsi="Arial" w:cs="Arial"/>
          <w:sz w:val="22"/>
          <w:szCs w:val="22"/>
        </w:rPr>
      </w:pPr>
      <w:r w:rsidRPr="00705353">
        <w:rPr>
          <w:rFonts w:ascii="Arial" w:hAnsi="Arial" w:cs="Arial"/>
          <w:sz w:val="22"/>
          <w:szCs w:val="22"/>
        </w:rPr>
        <w:t xml:space="preserve">Toute règle connaît ses exceptions, l’obligation de se conformer aux directives également. </w:t>
      </w:r>
    </w:p>
    <w:p w:rsidR="002C6BED" w:rsidRPr="00705353" w:rsidRDefault="002C6BED" w:rsidP="002C6BED">
      <w:pPr>
        <w:pStyle w:val="NormalWeb"/>
        <w:spacing w:before="0" w:beforeAutospacing="0" w:after="0" w:afterAutospacing="0"/>
        <w:jc w:val="both"/>
        <w:rPr>
          <w:rFonts w:ascii="Arial" w:hAnsi="Arial" w:cs="Arial"/>
          <w:sz w:val="22"/>
          <w:szCs w:val="22"/>
        </w:rPr>
      </w:pPr>
    </w:p>
    <w:p w:rsidR="002C6BED" w:rsidRPr="00705353" w:rsidRDefault="002C6BED" w:rsidP="002C6BED">
      <w:pPr>
        <w:pStyle w:val="NormalWeb"/>
        <w:spacing w:before="0" w:beforeAutospacing="0" w:after="0" w:afterAutospacing="0"/>
        <w:jc w:val="both"/>
        <w:rPr>
          <w:rFonts w:ascii="Arial" w:hAnsi="Arial" w:cs="Arial"/>
          <w:sz w:val="22"/>
          <w:szCs w:val="22"/>
        </w:rPr>
      </w:pPr>
      <w:r w:rsidRPr="00705353">
        <w:rPr>
          <w:rFonts w:ascii="Arial" w:hAnsi="Arial" w:cs="Arial"/>
          <w:sz w:val="22"/>
          <w:szCs w:val="22"/>
        </w:rPr>
        <w:t xml:space="preserve">La première exception concerne </w:t>
      </w:r>
      <w:r w:rsidRPr="00705353">
        <w:rPr>
          <w:rFonts w:ascii="Arial" w:hAnsi="Arial" w:cs="Arial"/>
          <w:b/>
          <w:bCs/>
          <w:sz w:val="22"/>
          <w:szCs w:val="22"/>
        </w:rPr>
        <w:t>les urgences</w:t>
      </w:r>
      <w:r w:rsidRPr="00705353">
        <w:rPr>
          <w:rFonts w:ascii="Arial" w:hAnsi="Arial" w:cs="Arial"/>
          <w:sz w:val="22"/>
          <w:szCs w:val="22"/>
        </w:rPr>
        <w:t> : le médecin ne peut pas se renseigner sur l’existence de directives anticipées lorsqu’il s’agit de prendre des décisions en particulier vitales, par exemple après un grave accident de la circulation ; « </w:t>
      </w:r>
      <w:r w:rsidRPr="00705353">
        <w:rPr>
          <w:rFonts w:ascii="Arial" w:hAnsi="Arial" w:cs="Arial"/>
          <w:i/>
          <w:iCs/>
          <w:sz w:val="22"/>
          <w:szCs w:val="22"/>
        </w:rPr>
        <w:t xml:space="preserve">(…) les cas d’urgence sont réservés » </w:t>
      </w:r>
      <w:r w:rsidRPr="00705353">
        <w:rPr>
          <w:rFonts w:ascii="Arial" w:hAnsi="Arial" w:cs="Arial"/>
          <w:sz w:val="22"/>
          <w:szCs w:val="22"/>
        </w:rPr>
        <w:t xml:space="preserve">(art. 372 al. 1 in fine). Dans ce cas, le médecin agit au plus près des intérêts présumés du patient. </w:t>
      </w:r>
    </w:p>
    <w:p w:rsidR="002C6BED" w:rsidRPr="00705353" w:rsidRDefault="002C6BED" w:rsidP="002C6BED">
      <w:pPr>
        <w:pStyle w:val="NormalWeb"/>
        <w:spacing w:before="0" w:beforeAutospacing="0" w:after="0" w:afterAutospacing="0"/>
        <w:jc w:val="both"/>
        <w:rPr>
          <w:rFonts w:ascii="Arial" w:hAnsi="Arial" w:cs="Arial"/>
          <w:sz w:val="22"/>
          <w:szCs w:val="22"/>
        </w:rPr>
      </w:pPr>
    </w:p>
    <w:p w:rsidR="002C6BED" w:rsidRPr="00705353" w:rsidRDefault="002C6BED" w:rsidP="002C6BED">
      <w:pPr>
        <w:pStyle w:val="NormalWeb"/>
        <w:spacing w:before="0" w:beforeAutospacing="0" w:after="0" w:afterAutospacing="0"/>
        <w:jc w:val="both"/>
        <w:rPr>
          <w:rFonts w:ascii="Arial" w:hAnsi="Arial" w:cs="Arial"/>
          <w:b/>
          <w:bCs/>
          <w:sz w:val="22"/>
          <w:szCs w:val="22"/>
        </w:rPr>
      </w:pPr>
      <w:r w:rsidRPr="00705353">
        <w:rPr>
          <w:rFonts w:ascii="Arial" w:hAnsi="Arial" w:cs="Arial"/>
          <w:sz w:val="22"/>
          <w:szCs w:val="22"/>
        </w:rPr>
        <w:t xml:space="preserve">Les autres exceptions sont prévues à l’art. 372 al. 2 CC : le médecin doit respecter les directives </w:t>
      </w:r>
      <w:r w:rsidRPr="00705353">
        <w:rPr>
          <w:rFonts w:ascii="Arial" w:hAnsi="Arial" w:cs="Arial"/>
          <w:b/>
          <w:bCs/>
          <w:sz w:val="22"/>
          <w:szCs w:val="22"/>
        </w:rPr>
        <w:t xml:space="preserve">sauf </w:t>
      </w:r>
    </w:p>
    <w:p w:rsidR="002C6BED" w:rsidRPr="00705353" w:rsidRDefault="002C6BED" w:rsidP="002C6BED">
      <w:pPr>
        <w:pStyle w:val="NormalWeb"/>
        <w:numPr>
          <w:ilvl w:val="0"/>
          <w:numId w:val="16"/>
        </w:numPr>
        <w:spacing w:before="0" w:beforeAutospacing="0" w:after="0" w:afterAutospacing="0"/>
        <w:jc w:val="both"/>
        <w:rPr>
          <w:rFonts w:ascii="Arial" w:hAnsi="Arial" w:cs="Arial"/>
          <w:sz w:val="22"/>
          <w:szCs w:val="22"/>
        </w:rPr>
      </w:pPr>
      <w:r w:rsidRPr="00705353">
        <w:rPr>
          <w:rFonts w:ascii="Arial" w:hAnsi="Arial" w:cs="Arial"/>
          <w:b/>
          <w:bCs/>
          <w:sz w:val="22"/>
          <w:szCs w:val="22"/>
        </w:rPr>
        <w:t>si elles violent des dispositions légales</w:t>
      </w:r>
      <w:r w:rsidRPr="00705353">
        <w:rPr>
          <w:rFonts w:ascii="Arial" w:hAnsi="Arial" w:cs="Arial"/>
          <w:sz w:val="22"/>
          <w:szCs w:val="22"/>
        </w:rPr>
        <w:t> : des directives anticipées qui demanderaient aux soignants une euthanasie active directe ne pourraient pas être respectées puisqu’il s’agirait d’une infraction pénale</w:t>
      </w:r>
    </w:p>
    <w:p w:rsidR="002C6BED" w:rsidRPr="00705353" w:rsidRDefault="002C6BED" w:rsidP="002C6BED">
      <w:pPr>
        <w:pStyle w:val="NormalWeb"/>
        <w:numPr>
          <w:ilvl w:val="0"/>
          <w:numId w:val="16"/>
        </w:numPr>
        <w:spacing w:before="0" w:beforeAutospacing="0" w:after="0" w:afterAutospacing="0"/>
        <w:jc w:val="both"/>
        <w:rPr>
          <w:rFonts w:ascii="Arial" w:hAnsi="Arial" w:cs="Arial"/>
          <w:b/>
          <w:bCs/>
          <w:sz w:val="22"/>
          <w:szCs w:val="22"/>
        </w:rPr>
      </w:pPr>
      <w:r w:rsidRPr="00705353">
        <w:rPr>
          <w:rFonts w:ascii="Arial" w:hAnsi="Arial" w:cs="Arial"/>
          <w:sz w:val="22"/>
          <w:szCs w:val="22"/>
        </w:rPr>
        <w:t xml:space="preserve">si des doutes sérieux laissent supposer qu’elles ne sont </w:t>
      </w:r>
      <w:r w:rsidRPr="00705353">
        <w:rPr>
          <w:rFonts w:ascii="Arial" w:hAnsi="Arial" w:cs="Arial"/>
          <w:b/>
          <w:bCs/>
          <w:sz w:val="22"/>
          <w:szCs w:val="22"/>
        </w:rPr>
        <w:t>pas l’expression de sa libre volonté </w:t>
      </w:r>
      <w:r w:rsidRPr="00705353">
        <w:rPr>
          <w:rFonts w:ascii="Arial" w:hAnsi="Arial" w:cs="Arial"/>
          <w:sz w:val="22"/>
          <w:szCs w:val="22"/>
        </w:rPr>
        <w:t>: on pensera ici à la problématique d’une part du discernement au moment de la rédaction (voir l’arrêt 5A_905/2015 du 1</w:t>
      </w:r>
      <w:r w:rsidRPr="00705353">
        <w:rPr>
          <w:rFonts w:ascii="Arial" w:hAnsi="Arial" w:cs="Arial"/>
          <w:sz w:val="22"/>
          <w:szCs w:val="22"/>
          <w:vertAlign w:val="superscript"/>
        </w:rPr>
        <w:t>er</w:t>
      </w:r>
      <w:r w:rsidRPr="00705353">
        <w:rPr>
          <w:rFonts w:ascii="Arial" w:hAnsi="Arial" w:cs="Arial"/>
          <w:sz w:val="22"/>
          <w:szCs w:val="22"/>
        </w:rPr>
        <w:t xml:space="preserve"> février 2016), d’autre part le fait que des directives anticipées ont pu être rédigées sous la contrainte ou sous la menace par exemple.</w:t>
      </w:r>
    </w:p>
    <w:p w:rsidR="002C6BED" w:rsidRPr="00705353" w:rsidRDefault="002C6BED" w:rsidP="002C6BED">
      <w:pPr>
        <w:pStyle w:val="NormalWeb"/>
        <w:numPr>
          <w:ilvl w:val="0"/>
          <w:numId w:val="16"/>
        </w:numPr>
        <w:spacing w:before="0" w:beforeAutospacing="0" w:after="0" w:afterAutospacing="0"/>
        <w:jc w:val="both"/>
        <w:rPr>
          <w:rFonts w:ascii="Arial" w:hAnsi="Arial" w:cs="Arial"/>
          <w:sz w:val="22"/>
          <w:szCs w:val="22"/>
        </w:rPr>
      </w:pPr>
      <w:r w:rsidRPr="00705353">
        <w:rPr>
          <w:rFonts w:ascii="Arial" w:hAnsi="Arial" w:cs="Arial"/>
          <w:sz w:val="22"/>
          <w:szCs w:val="22"/>
        </w:rPr>
        <w:t xml:space="preserve">si des doutes sérieux laissent supposer qu’elles ne correspondent </w:t>
      </w:r>
      <w:r w:rsidRPr="00705353">
        <w:rPr>
          <w:rFonts w:ascii="Arial" w:hAnsi="Arial" w:cs="Arial"/>
          <w:b/>
          <w:bCs/>
          <w:sz w:val="22"/>
          <w:szCs w:val="22"/>
        </w:rPr>
        <w:t>pas à sa volonté présumée</w:t>
      </w:r>
      <w:r w:rsidRPr="00705353">
        <w:rPr>
          <w:rFonts w:ascii="Arial" w:hAnsi="Arial" w:cs="Arial"/>
          <w:sz w:val="22"/>
          <w:szCs w:val="22"/>
        </w:rPr>
        <w:t xml:space="preserve"> dans la situation donnée : une personne aurait refusé un type de traitement en indiquant que le motif de son refus est son côté douloureux ; le traitement, devenu depuis lors non douloureux, pourra alors être administré. </w:t>
      </w:r>
    </w:p>
    <w:p w:rsidR="002C6BED" w:rsidRPr="00705353" w:rsidRDefault="002C6BED" w:rsidP="002C6BED">
      <w:pPr>
        <w:pStyle w:val="NormalWeb"/>
        <w:spacing w:before="0" w:beforeAutospacing="0" w:after="0" w:afterAutospacing="0"/>
        <w:jc w:val="both"/>
        <w:rPr>
          <w:rFonts w:ascii="Arial" w:hAnsi="Arial" w:cs="Arial"/>
          <w:sz w:val="22"/>
          <w:szCs w:val="22"/>
        </w:rPr>
      </w:pPr>
    </w:p>
    <w:p w:rsidR="002C6BED" w:rsidRPr="00705353" w:rsidRDefault="002C6BED" w:rsidP="002C6BED">
      <w:pPr>
        <w:shd w:val="clear" w:color="auto" w:fill="FFFFFF"/>
        <w:jc w:val="both"/>
        <w:rPr>
          <w:rFonts w:ascii="Arial" w:hAnsi="Arial" w:cs="Arial"/>
          <w:sz w:val="22"/>
          <w:szCs w:val="22"/>
        </w:rPr>
      </w:pPr>
      <w:r w:rsidRPr="00705353">
        <w:rPr>
          <w:rFonts w:ascii="Arial" w:hAnsi="Arial" w:cs="Arial"/>
          <w:sz w:val="22"/>
          <w:szCs w:val="22"/>
        </w:rPr>
        <w:t>Le législateur prévoit que le médecin doit consigner « </w:t>
      </w:r>
      <w:r w:rsidRPr="00705353">
        <w:rPr>
          <w:rFonts w:ascii="Arial" w:hAnsi="Arial" w:cs="Arial"/>
          <w:i/>
          <w:iCs/>
          <w:sz w:val="22"/>
          <w:szCs w:val="22"/>
        </w:rPr>
        <w:t xml:space="preserve">dans le dossier médical du patient les motifs pour lesquels il n’a pas respecté les directives anticipées ». </w:t>
      </w:r>
    </w:p>
    <w:p w:rsidR="002C6BED" w:rsidRPr="00705353" w:rsidRDefault="002C6BED" w:rsidP="002C6BED">
      <w:pPr>
        <w:shd w:val="clear" w:color="auto" w:fill="FFFFFF"/>
        <w:jc w:val="both"/>
        <w:rPr>
          <w:rFonts w:ascii="Arial" w:hAnsi="Arial" w:cs="Arial"/>
          <w:b/>
          <w:bCs/>
          <w:sz w:val="22"/>
          <w:szCs w:val="22"/>
        </w:rPr>
      </w:pPr>
    </w:p>
    <w:p w:rsidR="002C6BED" w:rsidRPr="00705353" w:rsidRDefault="002C6BED" w:rsidP="002C6BED">
      <w:pPr>
        <w:shd w:val="clear" w:color="auto" w:fill="FFFFFF"/>
        <w:jc w:val="both"/>
        <w:rPr>
          <w:rFonts w:ascii="Arial" w:hAnsi="Arial" w:cs="Arial"/>
          <w:sz w:val="22"/>
          <w:szCs w:val="22"/>
        </w:rPr>
      </w:pPr>
      <w:r w:rsidRPr="00705353">
        <w:rPr>
          <w:rFonts w:ascii="Arial" w:hAnsi="Arial" w:cs="Arial"/>
          <w:sz w:val="22"/>
          <w:szCs w:val="22"/>
        </w:rPr>
        <w:t>En cas de PAFA, finalement, les directives anticipées ne constituent qu’une « aide » et non une obligation : « </w:t>
      </w:r>
      <w:r w:rsidRPr="00705353">
        <w:rPr>
          <w:rFonts w:ascii="Arial" w:hAnsi="Arial" w:cs="Arial"/>
          <w:i/>
          <w:iCs/>
          <w:sz w:val="22"/>
          <w:szCs w:val="22"/>
        </w:rPr>
        <w:t xml:space="preserve">le plan de traitement est soumis au consentement de la personne concernée. Si elle est incapable de discernement, le médecin traitant prend en considération d’éventuelles directives anticipées » </w:t>
      </w:r>
      <w:r w:rsidRPr="00705353">
        <w:rPr>
          <w:rFonts w:ascii="Arial" w:hAnsi="Arial" w:cs="Arial"/>
          <w:sz w:val="22"/>
          <w:szCs w:val="22"/>
        </w:rPr>
        <w:t xml:space="preserve">(art. 433 al. 3 CC). </w:t>
      </w:r>
    </w:p>
    <w:p w:rsidR="002C6BED" w:rsidRPr="00705353" w:rsidRDefault="002C6BED" w:rsidP="002C6BED">
      <w:pPr>
        <w:shd w:val="clear" w:color="auto" w:fill="FFFFFF"/>
        <w:jc w:val="both"/>
        <w:rPr>
          <w:rFonts w:ascii="Arial" w:hAnsi="Arial" w:cs="Arial"/>
          <w:sz w:val="22"/>
          <w:szCs w:val="22"/>
        </w:rPr>
      </w:pPr>
    </w:p>
    <w:p w:rsidR="002C6BED" w:rsidRPr="00705353" w:rsidRDefault="002C6BED" w:rsidP="002C6BED">
      <w:pPr>
        <w:jc w:val="both"/>
        <w:rPr>
          <w:rFonts w:ascii="Arial" w:hAnsi="Arial" w:cs="Arial"/>
          <w:i/>
          <w:iCs/>
          <w:sz w:val="22"/>
          <w:szCs w:val="22"/>
        </w:rPr>
      </w:pPr>
      <w:r w:rsidRPr="00705353">
        <w:rPr>
          <w:rFonts w:ascii="Arial" w:hAnsi="Arial" w:cs="Arial"/>
          <w:sz w:val="22"/>
          <w:szCs w:val="22"/>
        </w:rPr>
        <w:t xml:space="preserve">L’art. 373 CC prévoit que le non-respect des directives peut être signalé à l’autorité de protection, tout comme le fait que les intérêts du patient sont compromis ou encore que les directives ne sont pas l’expression de la libre volonté du patient. L’autorité peut, par renvoi de l’art. 373 al. 2 à l’art. 368 CC, donner des instructions au médecin, lui retirer le mandat médical, voire à signaler un manquement au médecin cantonal du lieu de traitement. </w:t>
      </w:r>
    </w:p>
    <w:p w:rsidR="002C6BED" w:rsidRPr="00705353" w:rsidRDefault="002C6BED" w:rsidP="002C6BED">
      <w:pPr>
        <w:jc w:val="both"/>
        <w:rPr>
          <w:rFonts w:ascii="Arial" w:hAnsi="Arial" w:cs="Arial"/>
          <w:sz w:val="22"/>
          <w:szCs w:val="22"/>
        </w:rPr>
      </w:pPr>
    </w:p>
    <w:p w:rsidR="002C6BED" w:rsidRPr="00705353" w:rsidRDefault="002C6BED" w:rsidP="002C6BED">
      <w:pPr>
        <w:jc w:val="both"/>
        <w:rPr>
          <w:rFonts w:ascii="Arial" w:hAnsi="Arial" w:cs="Arial"/>
          <w:i/>
          <w:iCs/>
          <w:sz w:val="22"/>
          <w:szCs w:val="22"/>
        </w:rPr>
      </w:pPr>
      <w:r w:rsidRPr="00705353">
        <w:rPr>
          <w:rFonts w:ascii="Arial" w:hAnsi="Arial" w:cs="Arial"/>
          <w:i/>
          <w:iCs/>
          <w:sz w:val="22"/>
          <w:szCs w:val="22"/>
        </w:rPr>
        <w:t xml:space="preserve"> </w:t>
      </w:r>
      <w:r w:rsidRPr="00705353">
        <w:rPr>
          <w:rFonts w:ascii="Arial" w:hAnsi="Arial" w:cs="Arial"/>
          <w:sz w:val="22"/>
          <w:szCs w:val="22"/>
        </w:rPr>
        <w:t>Un signalement à l’autorité cantonale demeure réservé : ainsi, l’art. 15b LSP-VD prévoit que « </w:t>
      </w:r>
      <w:r w:rsidRPr="00705353">
        <w:rPr>
          <w:rFonts w:ascii="Arial" w:hAnsi="Arial" w:cs="Arial"/>
          <w:i/>
          <w:iCs/>
          <w:sz w:val="22"/>
          <w:szCs w:val="22"/>
        </w:rPr>
        <w:t>toute personne qui souhaite obtenir une information sur un droit que la LSP ou le Code civil</w:t>
      </w:r>
      <w:r w:rsidRPr="00705353">
        <w:rPr>
          <w:rFonts w:ascii="Arial" w:hAnsi="Arial" w:cs="Arial"/>
          <w:i/>
          <w:iCs/>
          <w:sz w:val="22"/>
          <w:szCs w:val="22"/>
          <w:vertAlign w:val="superscript"/>
        </w:rPr>
        <w:t xml:space="preserve"> </w:t>
      </w:r>
      <w:r w:rsidRPr="00705353">
        <w:rPr>
          <w:rFonts w:ascii="Arial" w:hAnsi="Arial" w:cs="Arial"/>
          <w:i/>
          <w:iCs/>
          <w:sz w:val="22"/>
          <w:szCs w:val="22"/>
        </w:rPr>
        <w:t>en matière de protection de l'adulte reconnaît aux patients ou aux résidents ou qui a un motif de se plaindre d'une violation d'un tel droit peut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
        <w:gridCol w:w="7222"/>
      </w:tblGrid>
      <w:tr w:rsidR="002C6BED" w:rsidRPr="00705353" w:rsidTr="00CB074A">
        <w:trPr>
          <w:tblCellSpacing w:w="15" w:type="dxa"/>
        </w:trPr>
        <w:tc>
          <w:tcPr>
            <w:tcW w:w="0" w:type="auto"/>
            <w:vAlign w:val="center"/>
            <w:hideMark/>
          </w:tcPr>
          <w:p w:rsidR="002C6BED" w:rsidRPr="00705353" w:rsidRDefault="002C6BED" w:rsidP="00CB074A">
            <w:pPr>
              <w:jc w:val="both"/>
              <w:rPr>
                <w:rFonts w:ascii="Arial" w:hAnsi="Arial" w:cs="Arial"/>
                <w:i/>
                <w:iCs/>
                <w:sz w:val="22"/>
                <w:szCs w:val="22"/>
              </w:rPr>
            </w:pPr>
            <w:r w:rsidRPr="00705353">
              <w:rPr>
                <w:rFonts w:ascii="Arial" w:hAnsi="Arial" w:cs="Arial"/>
                <w:i/>
                <w:iCs/>
                <w:sz w:val="22"/>
                <w:szCs w:val="22"/>
              </w:rPr>
              <w:t>a.</w:t>
            </w:r>
          </w:p>
        </w:tc>
        <w:tc>
          <w:tcPr>
            <w:tcW w:w="0" w:type="auto"/>
            <w:vAlign w:val="center"/>
            <w:hideMark/>
          </w:tcPr>
          <w:p w:rsidR="002C6BED" w:rsidRPr="00705353" w:rsidRDefault="002C6BED" w:rsidP="00CB074A">
            <w:pPr>
              <w:pStyle w:val="NormalWeb"/>
              <w:jc w:val="both"/>
              <w:rPr>
                <w:rFonts w:ascii="Arial" w:hAnsi="Arial" w:cs="Arial"/>
                <w:i/>
                <w:iCs/>
                <w:sz w:val="22"/>
                <w:szCs w:val="22"/>
              </w:rPr>
            </w:pPr>
            <w:r w:rsidRPr="00705353">
              <w:rPr>
                <w:rFonts w:ascii="Arial" w:hAnsi="Arial" w:cs="Arial"/>
                <w:i/>
                <w:iCs/>
                <w:sz w:val="22"/>
                <w:szCs w:val="22"/>
              </w:rPr>
              <w:t>s'adresser en tout temps au Bureau de la médiation ;</w:t>
            </w:r>
          </w:p>
        </w:tc>
      </w:tr>
      <w:tr w:rsidR="002C6BED" w:rsidRPr="00705353" w:rsidTr="00CB074A">
        <w:trPr>
          <w:tblCellSpacing w:w="15" w:type="dxa"/>
        </w:trPr>
        <w:tc>
          <w:tcPr>
            <w:tcW w:w="0" w:type="auto"/>
            <w:vAlign w:val="center"/>
            <w:hideMark/>
          </w:tcPr>
          <w:p w:rsidR="002C6BED" w:rsidRPr="00705353" w:rsidRDefault="002C6BED" w:rsidP="00CB074A">
            <w:pPr>
              <w:jc w:val="both"/>
              <w:rPr>
                <w:rFonts w:ascii="Arial" w:hAnsi="Arial" w:cs="Arial"/>
                <w:i/>
                <w:iCs/>
                <w:sz w:val="22"/>
                <w:szCs w:val="22"/>
              </w:rPr>
            </w:pPr>
            <w:r w:rsidRPr="00705353">
              <w:rPr>
                <w:rFonts w:ascii="Arial" w:hAnsi="Arial" w:cs="Arial"/>
                <w:i/>
                <w:iCs/>
                <w:sz w:val="22"/>
                <w:szCs w:val="22"/>
              </w:rPr>
              <w:t>b.</w:t>
            </w:r>
          </w:p>
        </w:tc>
        <w:tc>
          <w:tcPr>
            <w:tcW w:w="0" w:type="auto"/>
            <w:vAlign w:val="center"/>
            <w:hideMark/>
          </w:tcPr>
          <w:p w:rsidR="002C6BED" w:rsidRPr="00705353" w:rsidRDefault="002C6BED" w:rsidP="00CB074A">
            <w:pPr>
              <w:pStyle w:val="NormalWeb"/>
              <w:jc w:val="both"/>
              <w:rPr>
                <w:rFonts w:ascii="Arial" w:hAnsi="Arial" w:cs="Arial"/>
                <w:i/>
                <w:iCs/>
                <w:sz w:val="22"/>
                <w:szCs w:val="22"/>
              </w:rPr>
            </w:pPr>
            <w:r w:rsidRPr="00705353">
              <w:rPr>
                <w:rFonts w:ascii="Arial" w:hAnsi="Arial" w:cs="Arial"/>
                <w:i/>
                <w:iCs/>
                <w:sz w:val="22"/>
                <w:szCs w:val="22"/>
              </w:rPr>
              <w:t>déposer une plainte auprès de la Commission d'examen des plaintes (…)</w:t>
            </w:r>
          </w:p>
        </w:tc>
      </w:tr>
    </w:tbl>
    <w:p w:rsidR="002C6BED" w:rsidRPr="002C6BED" w:rsidRDefault="002C6BED" w:rsidP="00FC7F41">
      <w:pPr>
        <w:tabs>
          <w:tab w:val="left" w:pos="1916"/>
        </w:tabs>
        <w:rPr>
          <w:rFonts w:ascii="Arial" w:hAnsi="Arial" w:cs="Arial"/>
          <w:sz w:val="22"/>
          <w:szCs w:val="22"/>
        </w:rPr>
      </w:pPr>
    </w:p>
    <w:sectPr w:rsidR="002C6BED" w:rsidRPr="002C6BED" w:rsidSect="00A67BE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40A9" w:rsidRDefault="00B240A9" w:rsidP="00F07D3F">
      <w:r>
        <w:separator/>
      </w:r>
    </w:p>
  </w:endnote>
  <w:endnote w:type="continuationSeparator" w:id="0">
    <w:p w:rsidR="00B240A9" w:rsidRDefault="00B240A9" w:rsidP="00F0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40A9" w:rsidRDefault="00B240A9" w:rsidP="00F07D3F">
      <w:r>
        <w:separator/>
      </w:r>
    </w:p>
  </w:footnote>
  <w:footnote w:type="continuationSeparator" w:id="0">
    <w:p w:rsidR="00B240A9" w:rsidRDefault="00B240A9" w:rsidP="00F07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22FE" w:rsidRPr="006A22FE" w:rsidRDefault="006A22FE" w:rsidP="006A22FE">
    <w:pPr>
      <w:pStyle w:val="En-tte"/>
      <w:ind w:left="5664"/>
      <w:jc w:val="right"/>
      <w:rPr>
        <w:rFonts w:ascii="Arial" w:hAnsi="Arial" w:cs="Arial"/>
        <w:sz w:val="20"/>
        <w:szCs w:val="20"/>
      </w:rPr>
    </w:pPr>
    <w:r w:rsidRPr="006A22FE">
      <w:rPr>
        <w:rFonts w:ascii="Arial" w:hAnsi="Arial" w:cs="Arial"/>
        <w:sz w:val="20"/>
        <w:szCs w:val="20"/>
      </w:rPr>
      <w:t xml:space="preserve">CAS droit des patients et santé public </w:t>
    </w:r>
  </w:p>
  <w:p w:rsidR="006A22FE" w:rsidRPr="006A22FE" w:rsidRDefault="006A22FE" w:rsidP="006A22FE">
    <w:pPr>
      <w:pStyle w:val="En-tte"/>
      <w:ind w:left="5664"/>
      <w:jc w:val="right"/>
      <w:rPr>
        <w:rFonts w:ascii="Arial" w:hAnsi="Arial" w:cs="Arial"/>
        <w:sz w:val="20"/>
        <w:szCs w:val="20"/>
      </w:rPr>
    </w:pPr>
    <w:r w:rsidRPr="006A22FE">
      <w:rPr>
        <w:rFonts w:ascii="Arial" w:hAnsi="Arial" w:cs="Arial"/>
        <w:sz w:val="20"/>
        <w:szCs w:val="20"/>
      </w:rPr>
      <w:t xml:space="preserve">Oral no 1 </w:t>
    </w:r>
  </w:p>
  <w:p w:rsidR="00F81414" w:rsidRPr="006A22FE" w:rsidRDefault="00F81414" w:rsidP="006A22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B33B4"/>
    <w:multiLevelType w:val="hybridMultilevel"/>
    <w:tmpl w:val="2632C056"/>
    <w:lvl w:ilvl="0" w:tplc="6BC4C49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5F39E4"/>
    <w:multiLevelType w:val="hybridMultilevel"/>
    <w:tmpl w:val="DE609E6C"/>
    <w:lvl w:ilvl="0" w:tplc="73749FB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0C6734C"/>
    <w:multiLevelType w:val="hybridMultilevel"/>
    <w:tmpl w:val="F28A3656"/>
    <w:lvl w:ilvl="0" w:tplc="F3024DD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01192E"/>
    <w:multiLevelType w:val="hybridMultilevel"/>
    <w:tmpl w:val="ACD4D9D8"/>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AE2A54"/>
    <w:multiLevelType w:val="hybridMultilevel"/>
    <w:tmpl w:val="04DE01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0AA6AC1"/>
    <w:multiLevelType w:val="hybridMultilevel"/>
    <w:tmpl w:val="2AF08DFA"/>
    <w:lvl w:ilvl="0" w:tplc="6D34E0A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BC206B"/>
    <w:multiLevelType w:val="hybridMultilevel"/>
    <w:tmpl w:val="46E6645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A693CA3"/>
    <w:multiLevelType w:val="hybridMultilevel"/>
    <w:tmpl w:val="9F76FC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BAD53D3"/>
    <w:multiLevelType w:val="hybridMultilevel"/>
    <w:tmpl w:val="69B22A8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30B7254"/>
    <w:multiLevelType w:val="hybridMultilevel"/>
    <w:tmpl w:val="10BC7FF4"/>
    <w:lvl w:ilvl="0" w:tplc="193A338C">
      <w:start w:val="1"/>
      <w:numFmt w:val="decimal"/>
      <w:lvlText w:val="%1."/>
      <w:lvlJc w:val="left"/>
      <w:pPr>
        <w:ind w:left="360" w:hanging="360"/>
      </w:pPr>
      <w:rPr>
        <w:rFonts w:ascii="Times New Roman" w:hAnsi="Times New Roman" w:cs="Times New Roman"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5763A64"/>
    <w:multiLevelType w:val="hybridMultilevel"/>
    <w:tmpl w:val="669E45AA"/>
    <w:lvl w:ilvl="0" w:tplc="9B58089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DA5692"/>
    <w:multiLevelType w:val="hybridMultilevel"/>
    <w:tmpl w:val="E5F488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E8B1F27"/>
    <w:multiLevelType w:val="hybridMultilevel"/>
    <w:tmpl w:val="27EAA0F0"/>
    <w:lvl w:ilvl="0" w:tplc="17B26E84">
      <w:start w:val="1"/>
      <w:numFmt w:val="lowerLetter"/>
      <w:lvlText w:val="%1)"/>
      <w:lvlJc w:val="left"/>
      <w:pPr>
        <w:ind w:left="720" w:hanging="360"/>
      </w:pPr>
      <w:rPr>
        <w:rFonts w:ascii="Arial" w:eastAsiaTheme="minorHAnsi" w:hAnsi="Arial" w:cs="Arial"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0B50FC0"/>
    <w:multiLevelType w:val="hybridMultilevel"/>
    <w:tmpl w:val="FC8411B8"/>
    <w:lvl w:ilvl="0" w:tplc="18D06952">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7A9B5F68"/>
    <w:multiLevelType w:val="hybridMultilevel"/>
    <w:tmpl w:val="686C5F8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7AF54DBA"/>
    <w:multiLevelType w:val="hybridMultilevel"/>
    <w:tmpl w:val="DB667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3"/>
  </w:num>
  <w:num w:numId="5">
    <w:abstractNumId w:val="14"/>
  </w:num>
  <w:num w:numId="6">
    <w:abstractNumId w:val="6"/>
  </w:num>
  <w:num w:numId="7">
    <w:abstractNumId w:val="10"/>
  </w:num>
  <w:num w:numId="8">
    <w:abstractNumId w:val="4"/>
  </w:num>
  <w:num w:numId="9">
    <w:abstractNumId w:val="11"/>
  </w:num>
  <w:num w:numId="10">
    <w:abstractNumId w:val="12"/>
  </w:num>
  <w:num w:numId="11">
    <w:abstractNumId w:val="3"/>
  </w:num>
  <w:num w:numId="12">
    <w:abstractNumId w:val="5"/>
  </w:num>
  <w:num w:numId="13">
    <w:abstractNumId w:val="15"/>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9E"/>
    <w:rsid w:val="000445CE"/>
    <w:rsid w:val="00050C4F"/>
    <w:rsid w:val="00090607"/>
    <w:rsid w:val="00095AF6"/>
    <w:rsid w:val="000B4F11"/>
    <w:rsid w:val="0011748F"/>
    <w:rsid w:val="001642D0"/>
    <w:rsid w:val="00197747"/>
    <w:rsid w:val="001C2FA7"/>
    <w:rsid w:val="001D1FC8"/>
    <w:rsid w:val="00222A59"/>
    <w:rsid w:val="0023693F"/>
    <w:rsid w:val="00282DD7"/>
    <w:rsid w:val="002C6BED"/>
    <w:rsid w:val="002E37EB"/>
    <w:rsid w:val="0035208D"/>
    <w:rsid w:val="00363E56"/>
    <w:rsid w:val="003C4EEC"/>
    <w:rsid w:val="004351A3"/>
    <w:rsid w:val="00435DCC"/>
    <w:rsid w:val="004C112A"/>
    <w:rsid w:val="004C7A81"/>
    <w:rsid w:val="00514F77"/>
    <w:rsid w:val="00541434"/>
    <w:rsid w:val="00573C0B"/>
    <w:rsid w:val="005D4EDB"/>
    <w:rsid w:val="0062115E"/>
    <w:rsid w:val="00666EB2"/>
    <w:rsid w:val="00681F5B"/>
    <w:rsid w:val="00694AEA"/>
    <w:rsid w:val="006A22FE"/>
    <w:rsid w:val="006B249E"/>
    <w:rsid w:val="006C1330"/>
    <w:rsid w:val="006C2E0F"/>
    <w:rsid w:val="006D2D9E"/>
    <w:rsid w:val="007C03FE"/>
    <w:rsid w:val="007D0BDE"/>
    <w:rsid w:val="007E2A6B"/>
    <w:rsid w:val="008D2DDC"/>
    <w:rsid w:val="00905DC6"/>
    <w:rsid w:val="009B7EB8"/>
    <w:rsid w:val="009D7E7F"/>
    <w:rsid w:val="009F174C"/>
    <w:rsid w:val="00A105DD"/>
    <w:rsid w:val="00A12670"/>
    <w:rsid w:val="00A37C6A"/>
    <w:rsid w:val="00A67BE9"/>
    <w:rsid w:val="00A95E0B"/>
    <w:rsid w:val="00AC1F62"/>
    <w:rsid w:val="00AF63EE"/>
    <w:rsid w:val="00B17FE0"/>
    <w:rsid w:val="00B240A9"/>
    <w:rsid w:val="00BB0D7A"/>
    <w:rsid w:val="00BB3A82"/>
    <w:rsid w:val="00CA03C9"/>
    <w:rsid w:val="00CA2F33"/>
    <w:rsid w:val="00CC46D8"/>
    <w:rsid w:val="00CC646F"/>
    <w:rsid w:val="00CE4883"/>
    <w:rsid w:val="00D417E9"/>
    <w:rsid w:val="00D75F25"/>
    <w:rsid w:val="00E7322E"/>
    <w:rsid w:val="00EB3519"/>
    <w:rsid w:val="00ED16DA"/>
    <w:rsid w:val="00EF187B"/>
    <w:rsid w:val="00F07D3F"/>
    <w:rsid w:val="00F23B1F"/>
    <w:rsid w:val="00F24D45"/>
    <w:rsid w:val="00F81414"/>
    <w:rsid w:val="00FC7F41"/>
    <w:rsid w:val="00FF782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2F5F72C6"/>
  <w15:chartTrackingRefBased/>
  <w15:docId w15:val="{22A73615-B6C7-3B4F-9B60-42D27331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D1FC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D1FC8"/>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7D3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07D3F"/>
    <w:rPr>
      <w:rFonts w:ascii="Times New Roman" w:hAnsi="Times New Roman" w:cs="Times New Roman"/>
      <w:sz w:val="18"/>
      <w:szCs w:val="18"/>
    </w:rPr>
  </w:style>
  <w:style w:type="paragraph" w:styleId="En-tte">
    <w:name w:val="header"/>
    <w:basedOn w:val="Normal"/>
    <w:link w:val="En-tteCar"/>
    <w:uiPriority w:val="99"/>
    <w:unhideWhenUsed/>
    <w:rsid w:val="00F07D3F"/>
    <w:pPr>
      <w:tabs>
        <w:tab w:val="center" w:pos="4536"/>
        <w:tab w:val="right" w:pos="9072"/>
      </w:tabs>
    </w:pPr>
  </w:style>
  <w:style w:type="character" w:customStyle="1" w:styleId="En-tteCar">
    <w:name w:val="En-tête Car"/>
    <w:basedOn w:val="Policepardfaut"/>
    <w:link w:val="En-tte"/>
    <w:uiPriority w:val="99"/>
    <w:rsid w:val="00F07D3F"/>
  </w:style>
  <w:style w:type="paragraph" w:styleId="Pieddepage">
    <w:name w:val="footer"/>
    <w:basedOn w:val="Normal"/>
    <w:link w:val="PieddepageCar"/>
    <w:uiPriority w:val="99"/>
    <w:unhideWhenUsed/>
    <w:rsid w:val="00F07D3F"/>
    <w:pPr>
      <w:tabs>
        <w:tab w:val="center" w:pos="4536"/>
        <w:tab w:val="right" w:pos="9072"/>
      </w:tabs>
    </w:pPr>
  </w:style>
  <w:style w:type="character" w:customStyle="1" w:styleId="PieddepageCar">
    <w:name w:val="Pied de page Car"/>
    <w:basedOn w:val="Policepardfaut"/>
    <w:link w:val="Pieddepage"/>
    <w:uiPriority w:val="99"/>
    <w:rsid w:val="00F07D3F"/>
  </w:style>
  <w:style w:type="paragraph" w:styleId="NormalWeb">
    <w:name w:val="Normal (Web)"/>
    <w:basedOn w:val="Normal"/>
    <w:uiPriority w:val="99"/>
    <w:unhideWhenUsed/>
    <w:rsid w:val="00F07D3F"/>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F07D3F"/>
    <w:pPr>
      <w:ind w:left="720"/>
      <w:contextualSpacing/>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1D1FC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D1FC8"/>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5D4EDB"/>
    <w:rPr>
      <w:color w:val="0000FF"/>
      <w:u w:val="single"/>
    </w:rPr>
  </w:style>
  <w:style w:type="paragraph" w:styleId="Notedebasdepage">
    <w:name w:val="footnote text"/>
    <w:basedOn w:val="Normal"/>
    <w:link w:val="NotedebasdepageCar"/>
    <w:uiPriority w:val="99"/>
    <w:semiHidden/>
    <w:unhideWhenUsed/>
    <w:rsid w:val="009B7EB8"/>
    <w:rPr>
      <w:sz w:val="20"/>
      <w:szCs w:val="20"/>
    </w:rPr>
  </w:style>
  <w:style w:type="character" w:customStyle="1" w:styleId="NotedebasdepageCar">
    <w:name w:val="Note de bas de page Car"/>
    <w:basedOn w:val="Policepardfaut"/>
    <w:link w:val="Notedebasdepage"/>
    <w:uiPriority w:val="99"/>
    <w:semiHidden/>
    <w:rsid w:val="009B7EB8"/>
    <w:rPr>
      <w:sz w:val="20"/>
      <w:szCs w:val="20"/>
    </w:rPr>
  </w:style>
  <w:style w:type="character" w:styleId="Appelnotedebasdep">
    <w:name w:val="footnote reference"/>
    <w:basedOn w:val="Policepardfaut"/>
    <w:uiPriority w:val="99"/>
    <w:semiHidden/>
    <w:unhideWhenUsed/>
    <w:rsid w:val="009B7EB8"/>
    <w:rPr>
      <w:vertAlign w:val="superscript"/>
    </w:rPr>
  </w:style>
  <w:style w:type="character" w:customStyle="1" w:styleId="longdesc">
    <w:name w:val="long_desc"/>
    <w:basedOn w:val="Policepardfaut"/>
    <w:rsid w:val="0009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2767">
      <w:bodyDiv w:val="1"/>
      <w:marLeft w:val="0"/>
      <w:marRight w:val="0"/>
      <w:marTop w:val="0"/>
      <w:marBottom w:val="0"/>
      <w:divBdr>
        <w:top w:val="none" w:sz="0" w:space="0" w:color="auto"/>
        <w:left w:val="none" w:sz="0" w:space="0" w:color="auto"/>
        <w:bottom w:val="none" w:sz="0" w:space="0" w:color="auto"/>
        <w:right w:val="none" w:sz="0" w:space="0" w:color="auto"/>
      </w:divBdr>
    </w:div>
    <w:div w:id="298532685">
      <w:bodyDiv w:val="1"/>
      <w:marLeft w:val="0"/>
      <w:marRight w:val="0"/>
      <w:marTop w:val="0"/>
      <w:marBottom w:val="0"/>
      <w:divBdr>
        <w:top w:val="none" w:sz="0" w:space="0" w:color="auto"/>
        <w:left w:val="none" w:sz="0" w:space="0" w:color="auto"/>
        <w:bottom w:val="none" w:sz="0" w:space="0" w:color="auto"/>
        <w:right w:val="none" w:sz="0" w:space="0" w:color="auto"/>
      </w:divBdr>
    </w:div>
    <w:div w:id="464549884">
      <w:bodyDiv w:val="1"/>
      <w:marLeft w:val="0"/>
      <w:marRight w:val="0"/>
      <w:marTop w:val="0"/>
      <w:marBottom w:val="0"/>
      <w:divBdr>
        <w:top w:val="none" w:sz="0" w:space="0" w:color="auto"/>
        <w:left w:val="none" w:sz="0" w:space="0" w:color="auto"/>
        <w:bottom w:val="none" w:sz="0" w:space="0" w:color="auto"/>
        <w:right w:val="none" w:sz="0" w:space="0" w:color="auto"/>
      </w:divBdr>
    </w:div>
    <w:div w:id="744493043">
      <w:bodyDiv w:val="1"/>
      <w:marLeft w:val="0"/>
      <w:marRight w:val="0"/>
      <w:marTop w:val="0"/>
      <w:marBottom w:val="0"/>
      <w:divBdr>
        <w:top w:val="none" w:sz="0" w:space="0" w:color="auto"/>
        <w:left w:val="none" w:sz="0" w:space="0" w:color="auto"/>
        <w:bottom w:val="none" w:sz="0" w:space="0" w:color="auto"/>
        <w:right w:val="none" w:sz="0" w:space="0" w:color="auto"/>
      </w:divBdr>
    </w:div>
    <w:div w:id="849759860">
      <w:bodyDiv w:val="1"/>
      <w:marLeft w:val="0"/>
      <w:marRight w:val="0"/>
      <w:marTop w:val="0"/>
      <w:marBottom w:val="0"/>
      <w:divBdr>
        <w:top w:val="none" w:sz="0" w:space="0" w:color="auto"/>
        <w:left w:val="none" w:sz="0" w:space="0" w:color="auto"/>
        <w:bottom w:val="none" w:sz="0" w:space="0" w:color="auto"/>
        <w:right w:val="none" w:sz="0" w:space="0" w:color="auto"/>
      </w:divBdr>
    </w:div>
    <w:div w:id="948582305">
      <w:bodyDiv w:val="1"/>
      <w:marLeft w:val="0"/>
      <w:marRight w:val="0"/>
      <w:marTop w:val="0"/>
      <w:marBottom w:val="0"/>
      <w:divBdr>
        <w:top w:val="none" w:sz="0" w:space="0" w:color="auto"/>
        <w:left w:val="none" w:sz="0" w:space="0" w:color="auto"/>
        <w:bottom w:val="none" w:sz="0" w:space="0" w:color="auto"/>
        <w:right w:val="none" w:sz="0" w:space="0" w:color="auto"/>
      </w:divBdr>
    </w:div>
    <w:div w:id="1143421959">
      <w:bodyDiv w:val="1"/>
      <w:marLeft w:val="0"/>
      <w:marRight w:val="0"/>
      <w:marTop w:val="0"/>
      <w:marBottom w:val="0"/>
      <w:divBdr>
        <w:top w:val="none" w:sz="0" w:space="0" w:color="auto"/>
        <w:left w:val="none" w:sz="0" w:space="0" w:color="auto"/>
        <w:bottom w:val="none" w:sz="0" w:space="0" w:color="auto"/>
        <w:right w:val="none" w:sz="0" w:space="0" w:color="auto"/>
      </w:divBdr>
    </w:div>
    <w:div w:id="1190071298">
      <w:bodyDiv w:val="1"/>
      <w:marLeft w:val="0"/>
      <w:marRight w:val="0"/>
      <w:marTop w:val="0"/>
      <w:marBottom w:val="0"/>
      <w:divBdr>
        <w:top w:val="none" w:sz="0" w:space="0" w:color="auto"/>
        <w:left w:val="none" w:sz="0" w:space="0" w:color="auto"/>
        <w:bottom w:val="none" w:sz="0" w:space="0" w:color="auto"/>
        <w:right w:val="none" w:sz="0" w:space="0" w:color="auto"/>
      </w:divBdr>
    </w:div>
    <w:div w:id="1441103033">
      <w:bodyDiv w:val="1"/>
      <w:marLeft w:val="0"/>
      <w:marRight w:val="0"/>
      <w:marTop w:val="0"/>
      <w:marBottom w:val="0"/>
      <w:divBdr>
        <w:top w:val="none" w:sz="0" w:space="0" w:color="auto"/>
        <w:left w:val="none" w:sz="0" w:space="0" w:color="auto"/>
        <w:bottom w:val="none" w:sz="0" w:space="0" w:color="auto"/>
        <w:right w:val="none" w:sz="0" w:space="0" w:color="auto"/>
      </w:divBdr>
    </w:div>
    <w:div w:id="1441217944">
      <w:bodyDiv w:val="1"/>
      <w:marLeft w:val="0"/>
      <w:marRight w:val="0"/>
      <w:marTop w:val="0"/>
      <w:marBottom w:val="0"/>
      <w:divBdr>
        <w:top w:val="none" w:sz="0" w:space="0" w:color="auto"/>
        <w:left w:val="none" w:sz="0" w:space="0" w:color="auto"/>
        <w:bottom w:val="none" w:sz="0" w:space="0" w:color="auto"/>
        <w:right w:val="none" w:sz="0" w:space="0" w:color="auto"/>
      </w:divBdr>
    </w:div>
    <w:div w:id="1529220138">
      <w:bodyDiv w:val="1"/>
      <w:marLeft w:val="0"/>
      <w:marRight w:val="0"/>
      <w:marTop w:val="0"/>
      <w:marBottom w:val="0"/>
      <w:divBdr>
        <w:top w:val="none" w:sz="0" w:space="0" w:color="auto"/>
        <w:left w:val="none" w:sz="0" w:space="0" w:color="auto"/>
        <w:bottom w:val="none" w:sz="0" w:space="0" w:color="auto"/>
        <w:right w:val="none" w:sz="0" w:space="0" w:color="auto"/>
      </w:divBdr>
    </w:div>
    <w:div w:id="1549103870">
      <w:bodyDiv w:val="1"/>
      <w:marLeft w:val="0"/>
      <w:marRight w:val="0"/>
      <w:marTop w:val="0"/>
      <w:marBottom w:val="0"/>
      <w:divBdr>
        <w:top w:val="none" w:sz="0" w:space="0" w:color="auto"/>
        <w:left w:val="none" w:sz="0" w:space="0" w:color="auto"/>
        <w:bottom w:val="none" w:sz="0" w:space="0" w:color="auto"/>
        <w:right w:val="none" w:sz="0" w:space="0" w:color="auto"/>
      </w:divBdr>
    </w:div>
    <w:div w:id="1558472819">
      <w:bodyDiv w:val="1"/>
      <w:marLeft w:val="0"/>
      <w:marRight w:val="0"/>
      <w:marTop w:val="0"/>
      <w:marBottom w:val="0"/>
      <w:divBdr>
        <w:top w:val="none" w:sz="0" w:space="0" w:color="auto"/>
        <w:left w:val="none" w:sz="0" w:space="0" w:color="auto"/>
        <w:bottom w:val="none" w:sz="0" w:space="0" w:color="auto"/>
        <w:right w:val="none" w:sz="0" w:space="0" w:color="auto"/>
      </w:divBdr>
    </w:div>
    <w:div w:id="203241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Droits des patient·e·s</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D652D00A-E5CD-447C-8E3D-962E13E5ED39}"/>
</file>

<file path=customXml/itemProps2.xml><?xml version="1.0" encoding="utf-8"?>
<ds:datastoreItem xmlns:ds="http://schemas.openxmlformats.org/officeDocument/2006/customXml" ds:itemID="{FAEA4E79-9277-4D86-BEC6-108D9CA2F621}"/>
</file>

<file path=customXml/itemProps3.xml><?xml version="1.0" encoding="utf-8"?>
<ds:datastoreItem xmlns:ds="http://schemas.openxmlformats.org/officeDocument/2006/customXml" ds:itemID="{5DFB574C-23C4-4DF5-BECC-463CE66CC418}"/>
</file>

<file path=docProps/app.xml><?xml version="1.0" encoding="utf-8"?>
<Properties xmlns="http://schemas.openxmlformats.org/officeDocument/2006/extended-properties" xmlns:vt="http://schemas.openxmlformats.org/officeDocument/2006/docPropsVTypes">
  <Template>Normal.dotm</Template>
  <TotalTime>173</TotalTime>
  <Pages>2</Pages>
  <Words>521</Words>
  <Characters>2867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Haunreiter Katja</dc:creator>
  <cp:keywords/>
  <dc:description/>
  <cp:lastModifiedBy>Haunreiter Katja</cp:lastModifiedBy>
  <cp:revision>45</cp:revision>
  <cp:lastPrinted>2021-01-07T13:44:00Z</cp:lastPrinted>
  <dcterms:created xsi:type="dcterms:W3CDTF">2020-12-27T13:42:00Z</dcterms:created>
  <dcterms:modified xsi:type="dcterms:W3CDTF">2021-01-07T13:44:00Z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