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306C" w14:textId="656940F1" w:rsidR="00421D02" w:rsidRPr="00384817" w:rsidRDefault="00384817" w:rsidP="00056E43">
      <w:pPr>
        <w:jc w:val="both"/>
        <w:rPr>
          <w:rFonts w:ascii="Arial" w:hAnsi="Arial" w:cs="Arial"/>
          <w:b/>
          <w:bCs/>
          <w:caps/>
          <w:sz w:val="22"/>
          <w:szCs w:val="22"/>
        </w:rPr>
      </w:pPr>
      <w:r w:rsidRPr="00384817">
        <w:rPr>
          <w:rFonts w:ascii="Arial" w:hAnsi="Arial" w:cs="Arial"/>
          <w:b/>
          <w:bCs/>
          <w:caps/>
          <w:sz w:val="22"/>
          <w:szCs w:val="22"/>
        </w:rPr>
        <w:t>placement à des fins d’assistance</w:t>
      </w:r>
    </w:p>
    <w:p w14:paraId="38662B5C" w14:textId="77777777" w:rsidR="00421D02" w:rsidRPr="00384817" w:rsidRDefault="00421D02" w:rsidP="00056E43">
      <w:pPr>
        <w:jc w:val="both"/>
        <w:rPr>
          <w:rFonts w:ascii="Arial" w:hAnsi="Arial" w:cs="Arial"/>
          <w:sz w:val="22"/>
          <w:szCs w:val="22"/>
        </w:rPr>
      </w:pPr>
    </w:p>
    <w:p w14:paraId="4FA54592" w14:textId="6089F79B" w:rsidR="001432FF" w:rsidRPr="00384817" w:rsidRDefault="00384817" w:rsidP="00056E43">
      <w:pPr>
        <w:pBdr>
          <w:bottom w:val="single" w:sz="12" w:space="1" w:color="auto"/>
        </w:pBdr>
        <w:jc w:val="both"/>
        <w:rPr>
          <w:rFonts w:ascii="Arial" w:hAnsi="Arial" w:cs="Arial"/>
          <w:b/>
          <w:bCs/>
          <w:smallCaps/>
          <w:sz w:val="22"/>
          <w:szCs w:val="22"/>
        </w:rPr>
      </w:pPr>
      <w:r w:rsidRPr="00384817">
        <w:rPr>
          <w:rFonts w:ascii="Arial" w:hAnsi="Arial" w:cs="Arial"/>
          <w:b/>
          <w:bCs/>
          <w:smallCaps/>
          <w:sz w:val="22"/>
          <w:szCs w:val="22"/>
        </w:rPr>
        <w:t xml:space="preserve">Quelle est la portée des directives anticipées dans le PAFA ? </w:t>
      </w:r>
    </w:p>
    <w:p w14:paraId="21114661" w14:textId="2AAC5AF2" w:rsidR="00506BB0" w:rsidRPr="00384817" w:rsidRDefault="00506BB0" w:rsidP="00056E43">
      <w:pPr>
        <w:jc w:val="both"/>
        <w:rPr>
          <w:rFonts w:ascii="Arial" w:hAnsi="Arial" w:cs="Arial"/>
          <w:b/>
          <w:bCs/>
          <w:smallCaps/>
          <w:sz w:val="22"/>
          <w:szCs w:val="22"/>
        </w:rPr>
      </w:pPr>
    </w:p>
    <w:p w14:paraId="17C4AC6D" w14:textId="77777777" w:rsidR="00384817" w:rsidRPr="00384817" w:rsidRDefault="00384817" w:rsidP="00384817">
      <w:pPr>
        <w:shd w:val="clear" w:color="auto" w:fill="FFFFFF"/>
        <w:jc w:val="both"/>
        <w:rPr>
          <w:rFonts w:ascii="Arial" w:hAnsi="Arial" w:cs="Arial"/>
          <w:b/>
          <w:bCs/>
          <w:sz w:val="22"/>
          <w:szCs w:val="22"/>
        </w:rPr>
      </w:pPr>
    </w:p>
    <w:p w14:paraId="6F179E8C"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 xml:space="preserve">La situation d’une personne tombant sous le coup d’une mesure de placement à des fins d’assistance au sens des art. 426ss CC est particulière eu égard aux directives anticipées. </w:t>
      </w:r>
    </w:p>
    <w:p w14:paraId="782A4F9A" w14:textId="77777777" w:rsidR="00384817" w:rsidRPr="00384817" w:rsidRDefault="00384817" w:rsidP="00384817">
      <w:pPr>
        <w:shd w:val="clear" w:color="auto" w:fill="FFFFFF"/>
        <w:jc w:val="both"/>
        <w:rPr>
          <w:rFonts w:ascii="Arial" w:hAnsi="Arial" w:cs="Arial"/>
          <w:sz w:val="22"/>
          <w:szCs w:val="22"/>
        </w:rPr>
      </w:pPr>
    </w:p>
    <w:p w14:paraId="0A3CB2C5"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 xml:space="preserve">Sur le principe, le seul fait d’être placé notamment dans une institution psychiatrique contre son gré ne va pas annihiler les directives anticipées : une personne « PAFEE » reste en droit de voir ses directives anticipées appliquées, directives par lesquelles elle refusait une anesthésie pour un traitement dentaire par exemple. </w:t>
      </w:r>
    </w:p>
    <w:p w14:paraId="55A2F1BA" w14:textId="77777777" w:rsidR="00384817" w:rsidRPr="00384817" w:rsidRDefault="00384817" w:rsidP="00384817">
      <w:pPr>
        <w:shd w:val="clear" w:color="auto" w:fill="FFFFFF"/>
        <w:jc w:val="both"/>
        <w:rPr>
          <w:rFonts w:ascii="Arial" w:hAnsi="Arial" w:cs="Arial"/>
          <w:sz w:val="22"/>
          <w:szCs w:val="22"/>
        </w:rPr>
      </w:pPr>
    </w:p>
    <w:p w14:paraId="67205551"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 xml:space="preserve">Ainsi, pour ce qui est des choix relevant de </w:t>
      </w:r>
      <w:r w:rsidRPr="00384817">
        <w:rPr>
          <w:rFonts w:ascii="Arial" w:hAnsi="Arial" w:cs="Arial"/>
          <w:b/>
          <w:bCs/>
          <w:sz w:val="22"/>
          <w:szCs w:val="22"/>
        </w:rPr>
        <w:t>traitements somatiques</w:t>
      </w:r>
      <w:r w:rsidRPr="00384817">
        <w:rPr>
          <w:rFonts w:ascii="Arial" w:hAnsi="Arial" w:cs="Arial"/>
          <w:sz w:val="22"/>
          <w:szCs w:val="22"/>
        </w:rPr>
        <w:t xml:space="preserve"> (comme une rage de dent), les directives anticipées s’appliqueront si la personne est incapable de discernement, ce qui reste à prouver : le seul fait de devoir faire l’objet d’un placement à des fins d’assistance ne signifie pas automatiquement que la personne a perdu la capacité de discernement sur tout sujet. </w:t>
      </w:r>
    </w:p>
    <w:p w14:paraId="5E760214" w14:textId="77777777" w:rsidR="00384817" w:rsidRPr="00384817" w:rsidRDefault="00384817" w:rsidP="00384817">
      <w:pPr>
        <w:shd w:val="clear" w:color="auto" w:fill="FFFFFF"/>
        <w:jc w:val="both"/>
        <w:rPr>
          <w:rFonts w:ascii="Arial" w:hAnsi="Arial" w:cs="Arial"/>
          <w:sz w:val="22"/>
          <w:szCs w:val="22"/>
        </w:rPr>
      </w:pPr>
    </w:p>
    <w:p w14:paraId="703AAA8E"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Toutefois, pour les aspects de « soins psychiatriques », les directives anticipées ne sont que « prises en considération » par le médecin, ceci en vertu de l’art. 433 al. 3 CC : « </w:t>
      </w:r>
      <w:r w:rsidRPr="00384817">
        <w:rPr>
          <w:rFonts w:ascii="Arial" w:hAnsi="Arial" w:cs="Arial"/>
          <w:i/>
          <w:iCs/>
          <w:sz w:val="22"/>
          <w:szCs w:val="22"/>
        </w:rPr>
        <w:t xml:space="preserve">le plan de traitement est soumis au consentement de la personne concernée. Si elle est incapable de discernement, le médecin traitant prend en considération d’éventuelles directives anticipées ». </w:t>
      </w:r>
    </w:p>
    <w:p w14:paraId="15ADFC01" w14:textId="77777777" w:rsidR="00384817" w:rsidRPr="00384817" w:rsidRDefault="00384817" w:rsidP="00384817">
      <w:pPr>
        <w:shd w:val="clear" w:color="auto" w:fill="FFFFFF"/>
        <w:jc w:val="both"/>
        <w:rPr>
          <w:rFonts w:ascii="Arial" w:hAnsi="Arial" w:cs="Arial"/>
          <w:sz w:val="22"/>
          <w:szCs w:val="22"/>
        </w:rPr>
      </w:pPr>
    </w:p>
    <w:p w14:paraId="4EA973ED"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 xml:space="preserve">Ainsi, face à un même médicament visant le traitement d’affections psychiatriques, lorsqu’il est envisagé pour une personne résidant en EMS de son plein gré, il pourrait ne pas être possible de l’administrer parce que la personne s’y était opposée dans des directives anticipées antérieures ; en PAFA, ce même médicament pourrait être administré même si la personne s’y était opposée, dans l’hypothèse où de très bonnes raisons justifieraient de l’inclure dans le plan de traitement, établi avec la personne concernée et son éventuelle personne de confiance, telle que prévu à l’art. 432 CC. </w:t>
      </w:r>
    </w:p>
    <w:p w14:paraId="55D12277" w14:textId="77777777" w:rsidR="00384817" w:rsidRPr="00384817" w:rsidRDefault="00384817" w:rsidP="00384817">
      <w:pPr>
        <w:shd w:val="clear" w:color="auto" w:fill="FFFFFF"/>
        <w:jc w:val="both"/>
        <w:rPr>
          <w:rFonts w:ascii="Arial" w:hAnsi="Arial" w:cs="Arial"/>
          <w:sz w:val="22"/>
          <w:szCs w:val="22"/>
        </w:rPr>
      </w:pPr>
    </w:p>
    <w:p w14:paraId="53240120" w14:textId="18E63CAE"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 xml:space="preserve">Il va de soi </w:t>
      </w:r>
      <w:r w:rsidR="00133048" w:rsidRPr="00384817">
        <w:rPr>
          <w:rFonts w:ascii="Arial" w:hAnsi="Arial" w:cs="Arial"/>
          <w:sz w:val="22"/>
          <w:szCs w:val="22"/>
        </w:rPr>
        <w:t>qu’ici</w:t>
      </w:r>
      <w:r w:rsidRPr="00384817">
        <w:rPr>
          <w:rFonts w:ascii="Arial" w:hAnsi="Arial" w:cs="Arial"/>
          <w:sz w:val="22"/>
          <w:szCs w:val="22"/>
        </w:rPr>
        <w:t xml:space="preserve"> aussi, l’art. 435 al 2 CC prévoit que « </w:t>
      </w:r>
      <w:r w:rsidRPr="00384817">
        <w:rPr>
          <w:rFonts w:ascii="Arial" w:hAnsi="Arial" w:cs="Arial"/>
          <w:i/>
          <w:iCs/>
          <w:sz w:val="22"/>
          <w:szCs w:val="22"/>
        </w:rPr>
        <w:t xml:space="preserve">en cas d’urgence, les soins médicaux indispensables peuvent être administrés immédiatement s la protection </w:t>
      </w:r>
      <w:r w:rsidR="00133048" w:rsidRPr="00384817">
        <w:rPr>
          <w:rFonts w:ascii="Arial" w:hAnsi="Arial" w:cs="Arial"/>
          <w:i/>
          <w:iCs/>
          <w:sz w:val="22"/>
          <w:szCs w:val="22"/>
        </w:rPr>
        <w:t>de la personne concernée</w:t>
      </w:r>
      <w:r w:rsidRPr="00384817">
        <w:rPr>
          <w:rFonts w:ascii="Arial" w:hAnsi="Arial" w:cs="Arial"/>
          <w:i/>
          <w:iCs/>
          <w:sz w:val="22"/>
          <w:szCs w:val="22"/>
        </w:rPr>
        <w:t xml:space="preserve"> ou celle d’autrui l’exige.</w:t>
      </w:r>
    </w:p>
    <w:p w14:paraId="274C16EC" w14:textId="77777777" w:rsidR="00384817" w:rsidRPr="00384817" w:rsidRDefault="00384817" w:rsidP="00384817">
      <w:pPr>
        <w:shd w:val="clear" w:color="auto" w:fill="FFFFFF"/>
        <w:jc w:val="both"/>
        <w:rPr>
          <w:rFonts w:ascii="Arial" w:hAnsi="Arial" w:cs="Arial"/>
          <w:sz w:val="22"/>
          <w:szCs w:val="22"/>
        </w:rPr>
      </w:pPr>
    </w:p>
    <w:p w14:paraId="2D181D99"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La solution du législateur prévoit une « consigne générale » pour les traitements psychiatriques comme mesure de placement à des fins d’assistance (« </w:t>
      </w:r>
      <w:r w:rsidRPr="00384817">
        <w:rPr>
          <w:rFonts w:ascii="Arial" w:hAnsi="Arial" w:cs="Arial"/>
          <w:i/>
          <w:iCs/>
          <w:sz w:val="22"/>
          <w:szCs w:val="22"/>
        </w:rPr>
        <w:t xml:space="preserve">lorsque l’institution sait comment la personne entend être traitée, elle </w:t>
      </w:r>
      <w:r w:rsidRPr="00384817">
        <w:rPr>
          <w:rFonts w:ascii="Arial" w:hAnsi="Arial" w:cs="Arial"/>
          <w:b/>
          <w:bCs/>
          <w:i/>
          <w:iCs/>
          <w:sz w:val="22"/>
          <w:szCs w:val="22"/>
        </w:rPr>
        <w:t>prend en considération</w:t>
      </w:r>
      <w:r w:rsidRPr="00384817">
        <w:rPr>
          <w:rFonts w:ascii="Arial" w:hAnsi="Arial" w:cs="Arial"/>
          <w:i/>
          <w:iCs/>
          <w:sz w:val="22"/>
          <w:szCs w:val="22"/>
        </w:rPr>
        <w:t xml:space="preserve"> sa volonté »</w:t>
      </w:r>
      <w:r w:rsidRPr="00384817">
        <w:rPr>
          <w:rFonts w:ascii="Arial" w:hAnsi="Arial" w:cs="Arial"/>
          <w:sz w:val="22"/>
          <w:szCs w:val="22"/>
        </w:rPr>
        <w:t xml:space="preserve">, art. 435 al. 2 CC) : l’institution peut le savoir si la personne a déjà séjourné dans cet établissement et que la question de la récidive a été examinée lors de l’entretien de sortie (art. 436 CC). </w:t>
      </w:r>
    </w:p>
    <w:p w14:paraId="11344376"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 xml:space="preserve"> </w:t>
      </w:r>
    </w:p>
    <w:p w14:paraId="1D0CC748"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 xml:space="preserve">Ainsi, on constate que les directives anticipées s’effacent pour ce qui est du traitement psychiatrique lors d’un PAFA, qu’elles perdurent pour des aspects purement somatiques si la personne a perdu la capacité de discernement et que les médecins s’orient et prennent en considération des éléments dont ils disposent sur la volonté de la personne mais n’ont pas d’obligation de la respecter lorsqu’ils estiment avoir de bonnes raisons de s’en écarter. Il est judicieux ici également, par analogie à l’art. 372 al. 3 CC, de consigner dans le dossier les motifs qui ont conduit à s’écarter des indications disponibles. </w:t>
      </w:r>
    </w:p>
    <w:p w14:paraId="0E45DE97" w14:textId="77777777" w:rsidR="00384817" w:rsidRPr="00384817" w:rsidRDefault="00384817" w:rsidP="00384817">
      <w:pPr>
        <w:shd w:val="clear" w:color="auto" w:fill="FFFFFF"/>
        <w:jc w:val="both"/>
        <w:rPr>
          <w:rFonts w:ascii="Arial" w:hAnsi="Arial" w:cs="Arial"/>
          <w:sz w:val="22"/>
          <w:szCs w:val="22"/>
        </w:rPr>
      </w:pPr>
    </w:p>
    <w:p w14:paraId="2978FAA2" w14:textId="77777777" w:rsidR="00384817" w:rsidRPr="00384817" w:rsidRDefault="00384817" w:rsidP="00384817">
      <w:pPr>
        <w:shd w:val="clear" w:color="auto" w:fill="FFFFFF"/>
        <w:jc w:val="both"/>
        <w:rPr>
          <w:rFonts w:ascii="Arial" w:hAnsi="Arial" w:cs="Arial"/>
          <w:sz w:val="22"/>
          <w:szCs w:val="22"/>
        </w:rPr>
      </w:pPr>
      <w:r w:rsidRPr="00384817">
        <w:rPr>
          <w:rFonts w:ascii="Arial" w:hAnsi="Arial" w:cs="Arial"/>
          <w:sz w:val="22"/>
          <w:szCs w:val="22"/>
        </w:rPr>
        <w:t xml:space="preserve">La question d’un traitement administré sans consentement en matière psychiatrique est réglée par l’art. 434 CC, possible lorsque </w:t>
      </w:r>
    </w:p>
    <w:p w14:paraId="2133E009" w14:textId="77777777" w:rsidR="00384817" w:rsidRPr="00384817" w:rsidRDefault="00384817" w:rsidP="00874586">
      <w:pPr>
        <w:pStyle w:val="Paragraphedeliste"/>
        <w:numPr>
          <w:ilvl w:val="0"/>
          <w:numId w:val="1"/>
        </w:numPr>
        <w:shd w:val="clear" w:color="auto" w:fill="FFFFFF"/>
        <w:rPr>
          <w:rFonts w:cs="Arial"/>
          <w:sz w:val="22"/>
        </w:rPr>
      </w:pPr>
      <w:r w:rsidRPr="00384817">
        <w:rPr>
          <w:rFonts w:cs="Arial"/>
          <w:sz w:val="22"/>
        </w:rPr>
        <w:t xml:space="preserve">le défaut de traitement met gravement en péril la santé, ET </w:t>
      </w:r>
    </w:p>
    <w:p w14:paraId="5E26822C" w14:textId="77777777" w:rsidR="00384817" w:rsidRPr="00384817" w:rsidRDefault="00384817" w:rsidP="00874586">
      <w:pPr>
        <w:pStyle w:val="Paragraphedeliste"/>
        <w:numPr>
          <w:ilvl w:val="0"/>
          <w:numId w:val="1"/>
        </w:numPr>
        <w:shd w:val="clear" w:color="auto" w:fill="FFFFFF"/>
        <w:rPr>
          <w:rFonts w:cs="Arial"/>
          <w:sz w:val="22"/>
        </w:rPr>
      </w:pPr>
      <w:r w:rsidRPr="00384817">
        <w:rPr>
          <w:rFonts w:cs="Arial"/>
          <w:sz w:val="22"/>
        </w:rPr>
        <w:t xml:space="preserve">la personne concernée n’a pas la capacité de discernement pour comprendre les enjeux ET </w:t>
      </w:r>
    </w:p>
    <w:p w14:paraId="065CC813" w14:textId="77777777" w:rsidR="00384817" w:rsidRPr="00384817" w:rsidRDefault="00384817" w:rsidP="00874586">
      <w:pPr>
        <w:pStyle w:val="Paragraphedeliste"/>
        <w:numPr>
          <w:ilvl w:val="0"/>
          <w:numId w:val="1"/>
        </w:numPr>
        <w:shd w:val="clear" w:color="auto" w:fill="FFFFFF"/>
        <w:rPr>
          <w:rFonts w:cs="Arial"/>
          <w:sz w:val="22"/>
        </w:rPr>
      </w:pPr>
      <w:r w:rsidRPr="00384817">
        <w:rPr>
          <w:rFonts w:cs="Arial"/>
          <w:sz w:val="22"/>
        </w:rPr>
        <w:t xml:space="preserve">il n’existe pas de mesures appropriées moins rigoureuses. </w:t>
      </w:r>
    </w:p>
    <w:p w14:paraId="6040DB6E" w14:textId="77777777" w:rsidR="00384817" w:rsidRPr="00384817" w:rsidRDefault="00384817" w:rsidP="00384817">
      <w:pPr>
        <w:rPr>
          <w:rFonts w:ascii="Arial" w:hAnsi="Arial" w:cs="Arial"/>
          <w:b/>
          <w:bCs/>
          <w:caps/>
          <w:sz w:val="22"/>
          <w:szCs w:val="22"/>
        </w:rPr>
      </w:pPr>
      <w:r w:rsidRPr="00384817">
        <w:rPr>
          <w:rFonts w:ascii="Arial" w:hAnsi="Arial" w:cs="Arial"/>
          <w:b/>
          <w:bCs/>
          <w:caps/>
          <w:sz w:val="22"/>
          <w:szCs w:val="22"/>
        </w:rPr>
        <w:lastRenderedPageBreak/>
        <w:t>placement à des fins d’assistance</w:t>
      </w:r>
    </w:p>
    <w:p w14:paraId="332EE64D" w14:textId="77777777" w:rsidR="00384817" w:rsidRPr="00384817" w:rsidRDefault="00384817" w:rsidP="00384817">
      <w:pPr>
        <w:rPr>
          <w:rFonts w:ascii="Arial" w:hAnsi="Arial" w:cs="Arial"/>
          <w:sz w:val="22"/>
          <w:szCs w:val="22"/>
        </w:rPr>
      </w:pPr>
    </w:p>
    <w:p w14:paraId="2945DB8F" w14:textId="0EBFAB78" w:rsidR="00384817" w:rsidRPr="00384817" w:rsidRDefault="00384817" w:rsidP="00384817">
      <w:pPr>
        <w:pBdr>
          <w:bottom w:val="single" w:sz="12" w:space="1" w:color="auto"/>
        </w:pBdr>
        <w:rPr>
          <w:rFonts w:ascii="Arial" w:hAnsi="Arial" w:cs="Arial"/>
          <w:b/>
          <w:bCs/>
          <w:smallCaps/>
          <w:sz w:val="22"/>
          <w:szCs w:val="22"/>
        </w:rPr>
      </w:pPr>
      <w:r>
        <w:rPr>
          <w:rFonts w:ascii="Arial" w:hAnsi="Arial" w:cs="Arial"/>
          <w:b/>
          <w:bCs/>
          <w:smallCaps/>
          <w:sz w:val="22"/>
          <w:szCs w:val="22"/>
        </w:rPr>
        <w:t>Quelles sont les conditions du PAFA</w:t>
      </w:r>
      <w:r w:rsidRPr="00384817">
        <w:rPr>
          <w:rFonts w:ascii="Arial" w:hAnsi="Arial" w:cs="Arial"/>
          <w:b/>
          <w:bCs/>
          <w:smallCaps/>
          <w:sz w:val="22"/>
          <w:szCs w:val="22"/>
        </w:rPr>
        <w:t xml:space="preserve"> ? </w:t>
      </w:r>
    </w:p>
    <w:p w14:paraId="2E24D7A0" w14:textId="77777777" w:rsidR="00384817" w:rsidRDefault="00384817" w:rsidP="00384817">
      <w:pPr>
        <w:jc w:val="both"/>
        <w:rPr>
          <w:rFonts w:ascii="Arial" w:hAnsi="Arial" w:cs="Arial"/>
          <w:sz w:val="22"/>
          <w:szCs w:val="22"/>
        </w:rPr>
      </w:pPr>
    </w:p>
    <w:p w14:paraId="09DBA526" w14:textId="6A21CF91" w:rsidR="00384817" w:rsidRPr="00384817" w:rsidRDefault="00384817" w:rsidP="00384817">
      <w:pPr>
        <w:jc w:val="both"/>
        <w:rPr>
          <w:rFonts w:ascii="Arial" w:hAnsi="Arial" w:cs="Arial"/>
          <w:sz w:val="22"/>
          <w:szCs w:val="22"/>
        </w:rPr>
      </w:pPr>
      <w:r w:rsidRPr="00384817">
        <w:rPr>
          <w:rFonts w:ascii="Arial" w:hAnsi="Arial" w:cs="Arial"/>
          <w:sz w:val="22"/>
          <w:szCs w:val="22"/>
        </w:rPr>
        <w:t xml:space="preserve">Le PAFA, qui constitue une des mesures qui peut être prise par l’autorité de protection de l’adulte doit être </w:t>
      </w:r>
      <w:proofErr w:type="spellStart"/>
      <w:r w:rsidRPr="00384817">
        <w:rPr>
          <w:rFonts w:ascii="Arial" w:hAnsi="Arial" w:cs="Arial"/>
          <w:sz w:val="22"/>
          <w:szCs w:val="22"/>
        </w:rPr>
        <w:t>l’ultima</w:t>
      </w:r>
      <w:proofErr w:type="spellEnd"/>
      <w:r w:rsidRPr="00384817">
        <w:rPr>
          <w:rFonts w:ascii="Arial" w:hAnsi="Arial" w:cs="Arial"/>
          <w:sz w:val="22"/>
          <w:szCs w:val="22"/>
        </w:rPr>
        <w:t xml:space="preserve"> ratio : il ne doit pas être possible d’atteindre le but visé par une mesure moins limitative de la liberté personnelle au sens de l’art. 10 Cst.</w:t>
      </w:r>
    </w:p>
    <w:p w14:paraId="4A5B62F1" w14:textId="77777777" w:rsidR="00384817" w:rsidRPr="00384817" w:rsidRDefault="00384817" w:rsidP="00384817">
      <w:pPr>
        <w:jc w:val="both"/>
        <w:rPr>
          <w:rFonts w:ascii="Arial" w:hAnsi="Arial" w:cs="Arial"/>
          <w:sz w:val="22"/>
          <w:szCs w:val="22"/>
        </w:rPr>
      </w:pPr>
    </w:p>
    <w:p w14:paraId="2EEFA3F9" w14:textId="77777777" w:rsidR="00384817" w:rsidRPr="00384817" w:rsidRDefault="00384817" w:rsidP="00384817">
      <w:pPr>
        <w:jc w:val="both"/>
        <w:rPr>
          <w:rFonts w:ascii="Arial" w:hAnsi="Arial" w:cs="Arial"/>
          <w:sz w:val="22"/>
          <w:szCs w:val="22"/>
        </w:rPr>
      </w:pPr>
      <w:r w:rsidRPr="00384817">
        <w:rPr>
          <w:rFonts w:ascii="Arial" w:hAnsi="Arial" w:cs="Arial"/>
          <w:sz w:val="22"/>
          <w:szCs w:val="22"/>
        </w:rPr>
        <w:t>La question des mineurs est réglée par l’art. 307ss CC, un renvoi au droit de protection de l’adulte étant prévu par l’art. 314b al. 1 CC : « </w:t>
      </w:r>
      <w:r w:rsidRPr="00384817">
        <w:rPr>
          <w:rFonts w:ascii="Arial" w:hAnsi="Arial" w:cs="Arial"/>
          <w:i/>
          <w:iCs/>
          <w:sz w:val="22"/>
          <w:szCs w:val="22"/>
        </w:rPr>
        <w:t>lorsque l’enfant est placé dans une institution fermée ou dans un établissement psychiatrique, les dispositions de la protection de l’adulte sur le placement à des fins d’assistance sont applicables par analogie</w:t>
      </w:r>
      <w:r w:rsidRPr="00384817">
        <w:rPr>
          <w:rFonts w:ascii="Arial" w:hAnsi="Arial" w:cs="Arial"/>
          <w:sz w:val="22"/>
          <w:szCs w:val="22"/>
        </w:rPr>
        <w:t xml:space="preserve"> ». </w:t>
      </w:r>
    </w:p>
    <w:p w14:paraId="3A725AEE" w14:textId="77777777" w:rsidR="00384817" w:rsidRPr="00384817" w:rsidRDefault="00384817" w:rsidP="00384817">
      <w:pPr>
        <w:jc w:val="both"/>
        <w:rPr>
          <w:rFonts w:ascii="Arial" w:hAnsi="Arial" w:cs="Arial"/>
          <w:sz w:val="22"/>
          <w:szCs w:val="22"/>
        </w:rPr>
      </w:pPr>
    </w:p>
    <w:p w14:paraId="50171D46" w14:textId="77777777" w:rsidR="00384817" w:rsidRPr="00384817" w:rsidRDefault="00384817" w:rsidP="00384817">
      <w:pPr>
        <w:jc w:val="both"/>
        <w:rPr>
          <w:rFonts w:ascii="Arial" w:hAnsi="Arial" w:cs="Arial"/>
          <w:sz w:val="22"/>
          <w:szCs w:val="22"/>
        </w:rPr>
      </w:pPr>
      <w:r w:rsidRPr="00384817">
        <w:rPr>
          <w:rFonts w:ascii="Arial" w:hAnsi="Arial" w:cs="Arial"/>
          <w:sz w:val="22"/>
          <w:szCs w:val="22"/>
        </w:rPr>
        <w:t xml:space="preserve">Il doit, pour être valablement prononcé, remplir les conditions de l’art. 426 al. 1 CC :  </w:t>
      </w:r>
    </w:p>
    <w:p w14:paraId="21CAE4D7" w14:textId="77777777" w:rsidR="00384817" w:rsidRPr="00384817" w:rsidRDefault="00384817" w:rsidP="00384817">
      <w:pPr>
        <w:jc w:val="both"/>
        <w:rPr>
          <w:rFonts w:ascii="Arial" w:hAnsi="Arial" w:cs="Arial"/>
          <w:i/>
          <w:iCs/>
          <w:sz w:val="22"/>
          <w:szCs w:val="22"/>
        </w:rPr>
      </w:pPr>
    </w:p>
    <w:p w14:paraId="7FB9E0D9" w14:textId="77777777" w:rsidR="00384817" w:rsidRPr="00384817" w:rsidRDefault="00384817" w:rsidP="00874586">
      <w:pPr>
        <w:pStyle w:val="Paragraphedeliste"/>
        <w:numPr>
          <w:ilvl w:val="0"/>
          <w:numId w:val="2"/>
        </w:numPr>
        <w:rPr>
          <w:rFonts w:cs="Arial"/>
          <w:i/>
          <w:iCs/>
          <w:sz w:val="22"/>
        </w:rPr>
      </w:pPr>
      <w:r w:rsidRPr="00384817">
        <w:rPr>
          <w:rFonts w:cs="Arial"/>
          <w:i/>
          <w:iCs/>
          <w:sz w:val="22"/>
        </w:rPr>
        <w:t xml:space="preserve">Une personne peut être placée dans une </w:t>
      </w:r>
      <w:r w:rsidRPr="00384817">
        <w:rPr>
          <w:rFonts w:cs="Arial"/>
          <w:b/>
          <w:bCs/>
          <w:i/>
          <w:iCs/>
          <w:sz w:val="22"/>
        </w:rPr>
        <w:t>institution appropriée</w:t>
      </w:r>
      <w:r w:rsidRPr="00384817">
        <w:rPr>
          <w:rFonts w:cs="Arial"/>
          <w:i/>
          <w:iCs/>
          <w:sz w:val="22"/>
        </w:rPr>
        <w:t xml:space="preserve"> lorsque, en raison de troubles psychiques </w:t>
      </w:r>
      <w:r w:rsidRPr="00384817">
        <w:rPr>
          <w:rFonts w:cs="Arial"/>
          <w:sz w:val="22"/>
        </w:rPr>
        <w:t>(</w:t>
      </w:r>
      <w:r w:rsidRPr="00384817">
        <w:rPr>
          <w:rFonts w:cs="Arial"/>
          <w:sz w:val="22"/>
          <w:u w:val="single"/>
        </w:rPr>
        <w:t>toute pathologie mentale reconnue en psychiatrie, à savoir les psychoses, les psychopathies, les démences, notamment séniles</w:t>
      </w:r>
      <w:r w:rsidRPr="00384817">
        <w:rPr>
          <w:rFonts w:cs="Arial"/>
          <w:sz w:val="22"/>
        </w:rPr>
        <w:t>)</w:t>
      </w:r>
      <w:r w:rsidRPr="00384817">
        <w:rPr>
          <w:rFonts w:cs="Arial"/>
          <w:i/>
          <w:iCs/>
          <w:sz w:val="22"/>
        </w:rPr>
        <w:t xml:space="preserve">, d’une déficience mentale </w:t>
      </w:r>
      <w:r w:rsidRPr="00384817">
        <w:rPr>
          <w:rFonts w:cs="Arial"/>
          <w:sz w:val="22"/>
        </w:rPr>
        <w:t>(</w:t>
      </w:r>
      <w:r w:rsidRPr="00384817">
        <w:rPr>
          <w:rFonts w:cs="Arial"/>
          <w:sz w:val="22"/>
          <w:u w:val="single"/>
        </w:rPr>
        <w:t>déficiences de l’intelligence, congénitales ou acquises</w:t>
      </w:r>
      <w:r w:rsidRPr="00384817">
        <w:rPr>
          <w:rFonts w:cs="Arial"/>
          <w:sz w:val="22"/>
        </w:rPr>
        <w:t xml:space="preserve">) </w:t>
      </w:r>
      <w:r w:rsidRPr="00384817">
        <w:rPr>
          <w:rFonts w:cs="Arial"/>
          <w:i/>
          <w:iCs/>
          <w:sz w:val="22"/>
        </w:rPr>
        <w:t xml:space="preserve">ou d’un grave état d’abandon </w:t>
      </w:r>
      <w:r w:rsidRPr="00384817">
        <w:rPr>
          <w:rFonts w:cs="Arial"/>
          <w:sz w:val="22"/>
        </w:rPr>
        <w:t>(</w:t>
      </w:r>
      <w:r w:rsidRPr="00384817">
        <w:rPr>
          <w:rFonts w:cs="Arial"/>
          <w:sz w:val="22"/>
          <w:u w:val="single"/>
        </w:rPr>
        <w:t>état de déchéance tel que la personne concernée subirait une atteinte à sa dignité au sens de l’art. 7 Cst si elle n’était prise en charge en institution</w:t>
      </w:r>
      <w:r w:rsidRPr="00384817">
        <w:rPr>
          <w:rFonts w:cs="Arial"/>
          <w:i/>
          <w:iCs/>
          <w:sz w:val="22"/>
        </w:rPr>
        <w:t xml:space="preserve">), </w:t>
      </w:r>
      <w:r w:rsidRPr="00384817">
        <w:rPr>
          <w:rFonts w:cs="Arial"/>
          <w:b/>
          <w:bCs/>
          <w:i/>
          <w:iCs/>
          <w:sz w:val="22"/>
        </w:rPr>
        <w:t>l’assistance ou le traitement nécessaires ne peuvent lui être fournis d’une autre manière</w:t>
      </w:r>
      <w:r w:rsidRPr="00384817">
        <w:rPr>
          <w:rFonts w:cs="Arial"/>
          <w:sz w:val="22"/>
        </w:rPr>
        <w:t xml:space="preserve"> (= </w:t>
      </w:r>
      <w:r w:rsidRPr="00384817">
        <w:rPr>
          <w:rFonts w:cs="Arial"/>
          <w:sz w:val="22"/>
          <w:u w:val="single"/>
        </w:rPr>
        <w:t>causes du PAFA, le besoin d’assistance se définit comme une incapacité d’assumer une existence conforme aux exigences minimale imposées par la dignité humaine</w:t>
      </w:r>
      <w:r w:rsidRPr="00384817">
        <w:rPr>
          <w:rFonts w:cs="Arial"/>
          <w:sz w:val="22"/>
        </w:rPr>
        <w:t xml:space="preserve">). </w:t>
      </w:r>
    </w:p>
    <w:p w14:paraId="18F3CF62" w14:textId="77777777" w:rsidR="00384817" w:rsidRPr="00384817" w:rsidRDefault="00384817" w:rsidP="00384817">
      <w:pPr>
        <w:pStyle w:val="Paragraphedeliste"/>
        <w:ind w:left="360"/>
        <w:rPr>
          <w:rFonts w:cs="Arial"/>
          <w:i/>
          <w:iCs/>
          <w:sz w:val="22"/>
        </w:rPr>
      </w:pPr>
    </w:p>
    <w:p w14:paraId="5C67A177" w14:textId="77777777" w:rsidR="00384817" w:rsidRPr="00384817" w:rsidRDefault="00384817" w:rsidP="00874586">
      <w:pPr>
        <w:pStyle w:val="Paragraphedeliste"/>
        <w:numPr>
          <w:ilvl w:val="0"/>
          <w:numId w:val="2"/>
        </w:numPr>
        <w:rPr>
          <w:rFonts w:cs="Arial"/>
          <w:i/>
          <w:iCs/>
          <w:sz w:val="22"/>
        </w:rPr>
      </w:pPr>
      <w:r w:rsidRPr="00384817">
        <w:rPr>
          <w:rFonts w:cs="Arial"/>
          <w:b/>
          <w:bCs/>
          <w:i/>
          <w:iCs/>
          <w:sz w:val="22"/>
        </w:rPr>
        <w:t>La charge</w:t>
      </w:r>
      <w:r w:rsidRPr="00384817">
        <w:rPr>
          <w:rFonts w:cs="Arial"/>
          <w:i/>
          <w:iCs/>
          <w:sz w:val="22"/>
        </w:rPr>
        <w:t xml:space="preserve"> que la personne concernée représente </w:t>
      </w:r>
      <w:r w:rsidRPr="00384817">
        <w:rPr>
          <w:rFonts w:cs="Arial"/>
          <w:b/>
          <w:bCs/>
          <w:i/>
          <w:iCs/>
          <w:sz w:val="22"/>
        </w:rPr>
        <w:t>pour ses proches et pour des tiers</w:t>
      </w:r>
      <w:r w:rsidRPr="00384817">
        <w:rPr>
          <w:rFonts w:cs="Arial"/>
          <w:i/>
          <w:iCs/>
          <w:sz w:val="22"/>
        </w:rPr>
        <w:t xml:space="preserve"> ainsi que leur protection sont prises en considération.</w:t>
      </w:r>
    </w:p>
    <w:p w14:paraId="0EAA3B49" w14:textId="77777777" w:rsidR="00384817" w:rsidRPr="00384817" w:rsidRDefault="00384817" w:rsidP="00384817">
      <w:pPr>
        <w:pStyle w:val="Paragraphedeliste"/>
        <w:rPr>
          <w:rFonts w:cs="Arial"/>
          <w:i/>
          <w:iCs/>
          <w:sz w:val="22"/>
        </w:rPr>
      </w:pPr>
    </w:p>
    <w:p w14:paraId="33B105F5" w14:textId="77777777" w:rsidR="00384817" w:rsidRPr="00384817" w:rsidRDefault="00384817" w:rsidP="00874586">
      <w:pPr>
        <w:pStyle w:val="Paragraphedeliste"/>
        <w:numPr>
          <w:ilvl w:val="0"/>
          <w:numId w:val="2"/>
        </w:numPr>
        <w:rPr>
          <w:rFonts w:cs="Arial"/>
          <w:i/>
          <w:iCs/>
          <w:sz w:val="22"/>
        </w:rPr>
      </w:pPr>
      <w:r w:rsidRPr="00384817">
        <w:rPr>
          <w:rFonts w:cs="Arial"/>
          <w:i/>
          <w:iCs/>
          <w:sz w:val="22"/>
        </w:rPr>
        <w:t xml:space="preserve">La personne concernée est </w:t>
      </w:r>
      <w:r w:rsidRPr="00384817">
        <w:rPr>
          <w:rFonts w:cs="Arial"/>
          <w:b/>
          <w:bCs/>
          <w:i/>
          <w:iCs/>
          <w:sz w:val="22"/>
        </w:rPr>
        <w:t>libérée dès que les conditions du placement ne sont plus remplies.</w:t>
      </w:r>
    </w:p>
    <w:p w14:paraId="293E68D0" w14:textId="77777777" w:rsidR="00384817" w:rsidRPr="00384817" w:rsidRDefault="00384817" w:rsidP="00384817">
      <w:pPr>
        <w:pStyle w:val="Paragraphedeliste"/>
        <w:rPr>
          <w:rFonts w:cs="Arial"/>
          <w:i/>
          <w:iCs/>
          <w:sz w:val="22"/>
        </w:rPr>
      </w:pPr>
    </w:p>
    <w:p w14:paraId="5A47C11D" w14:textId="77777777" w:rsidR="00384817" w:rsidRPr="00384817" w:rsidRDefault="00384817" w:rsidP="00874586">
      <w:pPr>
        <w:pStyle w:val="Paragraphedeliste"/>
        <w:numPr>
          <w:ilvl w:val="0"/>
          <w:numId w:val="2"/>
        </w:numPr>
        <w:rPr>
          <w:rFonts w:cs="Arial"/>
          <w:i/>
          <w:iCs/>
          <w:sz w:val="22"/>
        </w:rPr>
      </w:pPr>
      <w:r w:rsidRPr="00384817">
        <w:rPr>
          <w:rFonts w:cs="Arial"/>
          <w:i/>
          <w:iCs/>
          <w:sz w:val="22"/>
        </w:rPr>
        <w:t xml:space="preserve">La personne concernée ou l’un de ses proches </w:t>
      </w:r>
      <w:r w:rsidRPr="00384817">
        <w:rPr>
          <w:rFonts w:cs="Arial"/>
          <w:b/>
          <w:bCs/>
          <w:i/>
          <w:iCs/>
          <w:sz w:val="22"/>
        </w:rPr>
        <w:t>peut demander sa libération en tout temps</w:t>
      </w:r>
      <w:r w:rsidRPr="00384817">
        <w:rPr>
          <w:rFonts w:cs="Arial"/>
          <w:i/>
          <w:iCs/>
          <w:sz w:val="22"/>
        </w:rPr>
        <w:t>. La décision doit être prise sans délai.</w:t>
      </w:r>
    </w:p>
    <w:p w14:paraId="0DC84F4D" w14:textId="77777777" w:rsidR="00384817" w:rsidRPr="00384817" w:rsidRDefault="00384817" w:rsidP="00384817">
      <w:pPr>
        <w:jc w:val="both"/>
        <w:rPr>
          <w:rFonts w:ascii="Arial" w:hAnsi="Arial" w:cs="Arial"/>
          <w:sz w:val="22"/>
          <w:szCs w:val="22"/>
        </w:rPr>
      </w:pPr>
    </w:p>
    <w:p w14:paraId="589707AD" w14:textId="77777777" w:rsidR="00384817" w:rsidRPr="00384817" w:rsidRDefault="00384817" w:rsidP="00384817">
      <w:pPr>
        <w:jc w:val="both"/>
        <w:rPr>
          <w:rFonts w:ascii="Arial" w:hAnsi="Arial" w:cs="Arial"/>
          <w:sz w:val="22"/>
          <w:szCs w:val="22"/>
        </w:rPr>
      </w:pPr>
      <w:r w:rsidRPr="00384817">
        <w:rPr>
          <w:rFonts w:ascii="Arial" w:hAnsi="Arial" w:cs="Arial"/>
          <w:sz w:val="22"/>
          <w:szCs w:val="22"/>
        </w:rPr>
        <w:t>Parmi les conditions à un PAFA, on retiendra encore qu’il</w:t>
      </w:r>
    </w:p>
    <w:p w14:paraId="350E555C" w14:textId="77777777" w:rsidR="00384817" w:rsidRPr="00384817" w:rsidRDefault="00384817" w:rsidP="00384817">
      <w:pPr>
        <w:jc w:val="both"/>
        <w:rPr>
          <w:rFonts w:ascii="Arial" w:hAnsi="Arial" w:cs="Arial"/>
          <w:sz w:val="22"/>
          <w:szCs w:val="22"/>
        </w:rPr>
      </w:pPr>
    </w:p>
    <w:p w14:paraId="01ED7847" w14:textId="77777777" w:rsidR="00384817" w:rsidRPr="00384817" w:rsidRDefault="00384817" w:rsidP="00874586">
      <w:pPr>
        <w:pStyle w:val="Paragraphedeliste"/>
        <w:numPr>
          <w:ilvl w:val="0"/>
          <w:numId w:val="4"/>
        </w:numPr>
        <w:rPr>
          <w:rFonts w:cs="Arial"/>
          <w:sz w:val="22"/>
        </w:rPr>
      </w:pPr>
      <w:r w:rsidRPr="00384817">
        <w:rPr>
          <w:rFonts w:cs="Arial"/>
          <w:sz w:val="22"/>
        </w:rPr>
        <w:t xml:space="preserve">avoir été prononcé </w:t>
      </w:r>
      <w:r w:rsidRPr="00384817">
        <w:rPr>
          <w:rFonts w:cs="Arial"/>
          <w:b/>
          <w:bCs/>
          <w:sz w:val="22"/>
        </w:rPr>
        <w:t>par une personne habilitée</w:t>
      </w:r>
      <w:r w:rsidRPr="00384817">
        <w:rPr>
          <w:rFonts w:cs="Arial"/>
          <w:sz w:val="22"/>
        </w:rPr>
        <w:t>, à savoir</w:t>
      </w:r>
    </w:p>
    <w:p w14:paraId="0E2BE4B5" w14:textId="77777777" w:rsidR="00384817" w:rsidRPr="00384817" w:rsidRDefault="00384817" w:rsidP="00874586">
      <w:pPr>
        <w:pStyle w:val="Paragraphedeliste"/>
        <w:numPr>
          <w:ilvl w:val="0"/>
          <w:numId w:val="3"/>
        </w:numPr>
        <w:rPr>
          <w:rFonts w:cs="Arial"/>
          <w:sz w:val="22"/>
        </w:rPr>
      </w:pPr>
      <w:r w:rsidRPr="00384817">
        <w:rPr>
          <w:rFonts w:cs="Arial"/>
          <w:sz w:val="22"/>
        </w:rPr>
        <w:t>l’autorité de protection (art. 428 CC)</w:t>
      </w:r>
    </w:p>
    <w:p w14:paraId="44F1ADFA" w14:textId="77777777" w:rsidR="00384817" w:rsidRPr="00384817" w:rsidRDefault="00384817" w:rsidP="00874586">
      <w:pPr>
        <w:pStyle w:val="Paragraphedeliste"/>
        <w:numPr>
          <w:ilvl w:val="0"/>
          <w:numId w:val="3"/>
        </w:numPr>
        <w:rPr>
          <w:rFonts w:cs="Arial"/>
          <w:sz w:val="22"/>
        </w:rPr>
      </w:pPr>
      <w:r w:rsidRPr="00384817">
        <w:rPr>
          <w:rFonts w:cs="Arial"/>
          <w:sz w:val="22"/>
        </w:rPr>
        <w:t xml:space="preserve">un des médecins prévus par le droit cantonal (art. 429 CC) </w:t>
      </w:r>
    </w:p>
    <w:p w14:paraId="06AC1F79" w14:textId="77777777" w:rsidR="00384817" w:rsidRPr="00384817" w:rsidRDefault="00384817" w:rsidP="00874586">
      <w:pPr>
        <w:pStyle w:val="Paragraphedeliste"/>
        <w:numPr>
          <w:ilvl w:val="0"/>
          <w:numId w:val="3"/>
        </w:numPr>
        <w:rPr>
          <w:rFonts w:cs="Arial"/>
          <w:sz w:val="22"/>
        </w:rPr>
      </w:pPr>
      <w:r w:rsidRPr="00384817">
        <w:rPr>
          <w:rFonts w:cs="Arial"/>
          <w:sz w:val="22"/>
        </w:rPr>
        <w:t xml:space="preserve">le médecin-chef d’un établissement psychiatrique (art. 427 CC) </w:t>
      </w:r>
    </w:p>
    <w:p w14:paraId="14401BA8" w14:textId="77777777" w:rsidR="00384817" w:rsidRPr="00384817" w:rsidRDefault="00384817" w:rsidP="00384817">
      <w:pPr>
        <w:pStyle w:val="Paragraphedeliste"/>
        <w:rPr>
          <w:rFonts w:cs="Arial"/>
          <w:sz w:val="22"/>
        </w:rPr>
      </w:pPr>
    </w:p>
    <w:p w14:paraId="7A71C66F" w14:textId="77777777" w:rsidR="00384817" w:rsidRPr="00384817" w:rsidRDefault="00384817" w:rsidP="00874586">
      <w:pPr>
        <w:pStyle w:val="Paragraphedeliste"/>
        <w:numPr>
          <w:ilvl w:val="0"/>
          <w:numId w:val="4"/>
        </w:numPr>
        <w:rPr>
          <w:rFonts w:cs="Arial"/>
          <w:sz w:val="22"/>
        </w:rPr>
      </w:pPr>
      <w:r w:rsidRPr="00384817">
        <w:rPr>
          <w:rFonts w:cs="Arial"/>
          <w:b/>
          <w:bCs/>
          <w:sz w:val="22"/>
        </w:rPr>
        <w:t>pour une durée prévue par la loi</w:t>
      </w:r>
      <w:r w:rsidRPr="00384817">
        <w:rPr>
          <w:rFonts w:cs="Arial"/>
          <w:sz w:val="22"/>
        </w:rPr>
        <w:t xml:space="preserve">, soit fédérale, soit cantonale : </w:t>
      </w:r>
    </w:p>
    <w:p w14:paraId="79D67852" w14:textId="77777777" w:rsidR="00384817" w:rsidRPr="00384817" w:rsidRDefault="00384817" w:rsidP="00874586">
      <w:pPr>
        <w:pStyle w:val="Paragraphedeliste"/>
        <w:numPr>
          <w:ilvl w:val="0"/>
          <w:numId w:val="5"/>
        </w:numPr>
        <w:rPr>
          <w:rFonts w:cs="Arial"/>
          <w:sz w:val="22"/>
        </w:rPr>
      </w:pPr>
      <w:r w:rsidRPr="00384817">
        <w:rPr>
          <w:rFonts w:cs="Arial"/>
          <w:sz w:val="22"/>
        </w:rPr>
        <w:t>six mois, six mois pour l’autorité de protection (art. 431 CC)</w:t>
      </w:r>
    </w:p>
    <w:p w14:paraId="33D2E67D" w14:textId="77777777" w:rsidR="00384817" w:rsidRPr="00384817" w:rsidRDefault="00384817" w:rsidP="00874586">
      <w:pPr>
        <w:pStyle w:val="Paragraphedeliste"/>
        <w:numPr>
          <w:ilvl w:val="0"/>
          <w:numId w:val="5"/>
        </w:numPr>
        <w:rPr>
          <w:rFonts w:cs="Arial"/>
          <w:sz w:val="22"/>
        </w:rPr>
      </w:pPr>
      <w:r w:rsidRPr="00384817">
        <w:rPr>
          <w:rFonts w:cs="Arial"/>
          <w:sz w:val="22"/>
        </w:rPr>
        <w:t>six semaines au maximum pour le médecin désigné (art. 429 al. 1 in fine CC)</w:t>
      </w:r>
    </w:p>
    <w:p w14:paraId="3CE11743" w14:textId="77777777" w:rsidR="00384817" w:rsidRPr="00384817" w:rsidRDefault="00384817" w:rsidP="00874586">
      <w:pPr>
        <w:pStyle w:val="Paragraphedeliste"/>
        <w:numPr>
          <w:ilvl w:val="0"/>
          <w:numId w:val="5"/>
        </w:numPr>
        <w:rPr>
          <w:rFonts w:cs="Arial"/>
          <w:sz w:val="22"/>
        </w:rPr>
      </w:pPr>
      <w:r w:rsidRPr="00384817">
        <w:rPr>
          <w:rFonts w:cs="Arial"/>
          <w:sz w:val="22"/>
        </w:rPr>
        <w:t>trois jours pour le médecin-chef (art. 427 al. 1 CC)</w:t>
      </w:r>
    </w:p>
    <w:p w14:paraId="2246349E" w14:textId="77777777" w:rsidR="00384817" w:rsidRPr="00384817" w:rsidRDefault="00384817" w:rsidP="00384817">
      <w:pPr>
        <w:pStyle w:val="Paragraphedeliste"/>
        <w:rPr>
          <w:rFonts w:cs="Arial"/>
          <w:sz w:val="22"/>
        </w:rPr>
      </w:pPr>
    </w:p>
    <w:p w14:paraId="7A5D4B9D" w14:textId="409DFA7E" w:rsidR="00384817" w:rsidRPr="00384817" w:rsidRDefault="00BB1431" w:rsidP="00874586">
      <w:pPr>
        <w:pStyle w:val="Paragraphedeliste"/>
        <w:numPr>
          <w:ilvl w:val="0"/>
          <w:numId w:val="4"/>
        </w:numPr>
        <w:rPr>
          <w:rFonts w:cs="Arial"/>
          <w:sz w:val="22"/>
        </w:rPr>
      </w:pPr>
      <w:r w:rsidRPr="00384817">
        <w:rPr>
          <w:rFonts w:cs="Arial"/>
          <w:b/>
          <w:bCs/>
          <w:sz w:val="22"/>
        </w:rPr>
        <w:t>Moyennant</w:t>
      </w:r>
      <w:r w:rsidR="00384817" w:rsidRPr="00384817">
        <w:rPr>
          <w:rFonts w:cs="Arial"/>
          <w:b/>
          <w:bCs/>
          <w:sz w:val="22"/>
        </w:rPr>
        <w:t xml:space="preserve"> respect des conditions formelles prévues par l’art. 430 CC</w:t>
      </w:r>
      <w:r w:rsidR="00384817" w:rsidRPr="00384817">
        <w:rPr>
          <w:rFonts w:cs="Arial"/>
          <w:sz w:val="22"/>
        </w:rPr>
        <w:t xml:space="preserve">, le PAFA ne pouvant être prononcé sur suite à un examen médical fait par le médecin lui-même, qui doit entendre la personne concernée, lui notifier la décision par écrit en indiquant </w:t>
      </w:r>
      <w:r w:rsidR="00384817" w:rsidRPr="00384817">
        <w:rPr>
          <w:rFonts w:cs="Arial"/>
          <w:sz w:val="22"/>
          <w:u w:val="single"/>
        </w:rPr>
        <w:t>notamment</w:t>
      </w:r>
      <w:r w:rsidR="00384817" w:rsidRPr="00384817">
        <w:rPr>
          <w:rFonts w:cs="Arial"/>
          <w:sz w:val="22"/>
        </w:rPr>
        <w:t xml:space="preserve"> lieu et date de l’examen, </w:t>
      </w:r>
      <w:r w:rsidR="00384817" w:rsidRPr="00384817">
        <w:rPr>
          <w:rFonts w:cs="Arial"/>
          <w:b/>
          <w:bCs/>
          <w:sz w:val="22"/>
        </w:rPr>
        <w:t>les résultats de l’examen, les raisons et le but du placement</w:t>
      </w:r>
      <w:r w:rsidR="00384817" w:rsidRPr="00384817">
        <w:rPr>
          <w:rFonts w:cs="Arial"/>
          <w:sz w:val="22"/>
        </w:rPr>
        <w:t xml:space="preserve"> et les voies de recours. </w:t>
      </w:r>
    </w:p>
    <w:p w14:paraId="682ACB68" w14:textId="77777777" w:rsidR="00384817" w:rsidRPr="00384817" w:rsidRDefault="00384817" w:rsidP="00384817">
      <w:pPr>
        <w:jc w:val="both"/>
        <w:rPr>
          <w:rFonts w:ascii="Arial" w:hAnsi="Arial" w:cs="Arial"/>
          <w:sz w:val="22"/>
          <w:szCs w:val="22"/>
        </w:rPr>
      </w:pPr>
    </w:p>
    <w:p w14:paraId="4CCA3AE8" w14:textId="77777777" w:rsidR="00384817" w:rsidRPr="00384817" w:rsidRDefault="00384817" w:rsidP="00384817">
      <w:pPr>
        <w:jc w:val="both"/>
        <w:rPr>
          <w:rFonts w:ascii="Arial" w:hAnsi="Arial" w:cs="Arial"/>
          <w:sz w:val="22"/>
          <w:szCs w:val="22"/>
        </w:rPr>
      </w:pPr>
      <w:r w:rsidRPr="00384817">
        <w:rPr>
          <w:rFonts w:ascii="Arial" w:hAnsi="Arial" w:cs="Arial"/>
          <w:sz w:val="22"/>
          <w:szCs w:val="22"/>
        </w:rPr>
        <w:t xml:space="preserve">Le PAFA peut être contesté, sur son principe ou sur sa durée, sur base de l’art. 439 CC, dans un délai de 10 jours dès notification, en tout temps contre les mesures de contention (art. 439 al. 2 in fine CC). </w:t>
      </w:r>
    </w:p>
    <w:p w14:paraId="7CBD0265" w14:textId="77777777" w:rsidR="00384817" w:rsidRPr="00384817" w:rsidRDefault="00384817" w:rsidP="00056E43">
      <w:pPr>
        <w:pStyle w:val="Paragraphedeliste"/>
        <w:ind w:left="0"/>
        <w:rPr>
          <w:rFonts w:cs="Arial"/>
          <w:sz w:val="22"/>
          <w:lang w:val="fr-CH"/>
        </w:rPr>
      </w:pPr>
    </w:p>
    <w:sectPr w:rsidR="00384817" w:rsidRPr="00384817" w:rsidSect="003C5DC7">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B39C" w14:textId="77777777" w:rsidR="00C06D64" w:rsidRDefault="00C06D64" w:rsidP="0012550F">
      <w:r>
        <w:separator/>
      </w:r>
    </w:p>
  </w:endnote>
  <w:endnote w:type="continuationSeparator" w:id="0">
    <w:p w14:paraId="7C197805" w14:textId="77777777" w:rsidR="00C06D64" w:rsidRDefault="00C06D64" w:rsidP="0012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154950"/>
      <w:docPartObj>
        <w:docPartGallery w:val="Page Numbers (Bottom of Page)"/>
        <w:docPartUnique/>
      </w:docPartObj>
    </w:sdtPr>
    <w:sdtContent>
      <w:p w14:paraId="40BDE879" w14:textId="306AD6C6" w:rsidR="008775EB" w:rsidRDefault="008775EB">
        <w:pPr>
          <w:pStyle w:val="Pieddepage"/>
          <w:jc w:val="right"/>
        </w:pPr>
        <w:r>
          <w:fldChar w:fldCharType="begin"/>
        </w:r>
        <w:r>
          <w:instrText>PAGE   \* MERGEFORMAT</w:instrText>
        </w:r>
        <w:r>
          <w:fldChar w:fldCharType="separate"/>
        </w:r>
        <w:r>
          <w:t>2</w:t>
        </w:r>
        <w:r>
          <w:fldChar w:fldCharType="end"/>
        </w:r>
      </w:p>
    </w:sdtContent>
  </w:sdt>
  <w:p w14:paraId="342ADBBD" w14:textId="77777777" w:rsidR="008775EB" w:rsidRDefault="008775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F43F" w14:textId="77777777" w:rsidR="00C06D64" w:rsidRDefault="00C06D64" w:rsidP="0012550F">
      <w:r>
        <w:separator/>
      </w:r>
    </w:p>
  </w:footnote>
  <w:footnote w:type="continuationSeparator" w:id="0">
    <w:p w14:paraId="2A322847" w14:textId="77777777" w:rsidR="00C06D64" w:rsidRDefault="00C06D64" w:rsidP="0012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F8C7" w14:textId="3361A02C" w:rsidR="008775EB" w:rsidRPr="00506BB0" w:rsidRDefault="00506BB0" w:rsidP="00506BB0">
    <w:pPr>
      <w:pStyle w:val="En-tte"/>
      <w:ind w:left="5664"/>
      <w:jc w:val="right"/>
      <w:rPr>
        <w:szCs w:val="20"/>
        <w:lang w:val="fr-CH"/>
      </w:rPr>
    </w:pPr>
    <w:r w:rsidRPr="00506BB0">
      <w:rPr>
        <w:szCs w:val="20"/>
        <w:lang w:val="fr-CH"/>
      </w:rPr>
      <w:t xml:space="preserve">CAS droit des patients et santé public </w:t>
    </w:r>
  </w:p>
  <w:p w14:paraId="434A99B1" w14:textId="70BC116F" w:rsidR="00506BB0" w:rsidRPr="00506BB0" w:rsidRDefault="00506BB0" w:rsidP="00506BB0">
    <w:pPr>
      <w:pStyle w:val="En-tte"/>
      <w:ind w:left="5664"/>
      <w:jc w:val="right"/>
      <w:rPr>
        <w:szCs w:val="20"/>
        <w:lang w:val="fr-CH"/>
      </w:rPr>
    </w:pPr>
    <w:r w:rsidRPr="00506BB0">
      <w:rPr>
        <w:szCs w:val="20"/>
        <w:lang w:val="fr-CH"/>
      </w:rPr>
      <w:t xml:space="preserve">Oral no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6FC0"/>
    <w:multiLevelType w:val="hybridMultilevel"/>
    <w:tmpl w:val="A60E04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9C3DDC"/>
    <w:multiLevelType w:val="hybridMultilevel"/>
    <w:tmpl w:val="66347854"/>
    <w:lvl w:ilvl="0" w:tplc="8578C85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D5797B"/>
    <w:multiLevelType w:val="hybridMultilevel"/>
    <w:tmpl w:val="FED60ED4"/>
    <w:lvl w:ilvl="0" w:tplc="40C07B6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C05B2F"/>
    <w:multiLevelType w:val="hybridMultilevel"/>
    <w:tmpl w:val="BE56780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B4558D0"/>
    <w:multiLevelType w:val="hybridMultilevel"/>
    <w:tmpl w:val="A19C81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04497951">
    <w:abstractNumId w:val="1"/>
  </w:num>
  <w:num w:numId="2" w16cid:durableId="580526711">
    <w:abstractNumId w:val="3"/>
  </w:num>
  <w:num w:numId="3" w16cid:durableId="327949858">
    <w:abstractNumId w:val="0"/>
  </w:num>
  <w:num w:numId="4" w16cid:durableId="563953491">
    <w:abstractNumId w:val="2"/>
  </w:num>
  <w:num w:numId="5" w16cid:durableId="63256646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8C"/>
    <w:rsid w:val="0001048A"/>
    <w:rsid w:val="00056E43"/>
    <w:rsid w:val="000A3ADF"/>
    <w:rsid w:val="000C70C5"/>
    <w:rsid w:val="000C7FB6"/>
    <w:rsid w:val="000D069C"/>
    <w:rsid w:val="000F347B"/>
    <w:rsid w:val="00103F30"/>
    <w:rsid w:val="0010472D"/>
    <w:rsid w:val="00113F51"/>
    <w:rsid w:val="0012550F"/>
    <w:rsid w:val="00130EEC"/>
    <w:rsid w:val="00133048"/>
    <w:rsid w:val="001432FF"/>
    <w:rsid w:val="00156D01"/>
    <w:rsid w:val="00176D6D"/>
    <w:rsid w:val="00187A99"/>
    <w:rsid w:val="0019447D"/>
    <w:rsid w:val="001C30FC"/>
    <w:rsid w:val="0025518A"/>
    <w:rsid w:val="00296B52"/>
    <w:rsid w:val="002D08F3"/>
    <w:rsid w:val="002D238C"/>
    <w:rsid w:val="002E20FF"/>
    <w:rsid w:val="003530C7"/>
    <w:rsid w:val="00361700"/>
    <w:rsid w:val="00365857"/>
    <w:rsid w:val="00384817"/>
    <w:rsid w:val="003965B7"/>
    <w:rsid w:val="003B66AE"/>
    <w:rsid w:val="003C5DC7"/>
    <w:rsid w:val="00416B9D"/>
    <w:rsid w:val="00417093"/>
    <w:rsid w:val="00420794"/>
    <w:rsid w:val="00421D02"/>
    <w:rsid w:val="00435E1D"/>
    <w:rsid w:val="0045284D"/>
    <w:rsid w:val="00465BCB"/>
    <w:rsid w:val="0047066A"/>
    <w:rsid w:val="004820BC"/>
    <w:rsid w:val="004A1F67"/>
    <w:rsid w:val="004B2EB7"/>
    <w:rsid w:val="004C47F7"/>
    <w:rsid w:val="00506BB0"/>
    <w:rsid w:val="0051107E"/>
    <w:rsid w:val="00523F74"/>
    <w:rsid w:val="00537C7A"/>
    <w:rsid w:val="00540590"/>
    <w:rsid w:val="00543737"/>
    <w:rsid w:val="00545BC6"/>
    <w:rsid w:val="005A6D6A"/>
    <w:rsid w:val="005B1110"/>
    <w:rsid w:val="005B477D"/>
    <w:rsid w:val="005C66B9"/>
    <w:rsid w:val="006405DD"/>
    <w:rsid w:val="00665C51"/>
    <w:rsid w:val="00673D8F"/>
    <w:rsid w:val="006B3D80"/>
    <w:rsid w:val="006B77FD"/>
    <w:rsid w:val="006E35B0"/>
    <w:rsid w:val="006F2B42"/>
    <w:rsid w:val="00703BCD"/>
    <w:rsid w:val="00706C2C"/>
    <w:rsid w:val="0072425F"/>
    <w:rsid w:val="0073454E"/>
    <w:rsid w:val="00741C4C"/>
    <w:rsid w:val="00783BF4"/>
    <w:rsid w:val="007A1303"/>
    <w:rsid w:val="007B3EC9"/>
    <w:rsid w:val="007E0489"/>
    <w:rsid w:val="007F5D27"/>
    <w:rsid w:val="00874586"/>
    <w:rsid w:val="008775EB"/>
    <w:rsid w:val="008F2D5D"/>
    <w:rsid w:val="00904BA3"/>
    <w:rsid w:val="009608BD"/>
    <w:rsid w:val="009A4744"/>
    <w:rsid w:val="009E70D3"/>
    <w:rsid w:val="00A153B6"/>
    <w:rsid w:val="00A15F1C"/>
    <w:rsid w:val="00A16F26"/>
    <w:rsid w:val="00A23682"/>
    <w:rsid w:val="00AA738B"/>
    <w:rsid w:val="00B06073"/>
    <w:rsid w:val="00B201FD"/>
    <w:rsid w:val="00B37551"/>
    <w:rsid w:val="00B40180"/>
    <w:rsid w:val="00B75B90"/>
    <w:rsid w:val="00BB1431"/>
    <w:rsid w:val="00BE2AC7"/>
    <w:rsid w:val="00C06D64"/>
    <w:rsid w:val="00C25C98"/>
    <w:rsid w:val="00C96626"/>
    <w:rsid w:val="00CB0601"/>
    <w:rsid w:val="00CF1992"/>
    <w:rsid w:val="00CF44D4"/>
    <w:rsid w:val="00D05C63"/>
    <w:rsid w:val="00D118DF"/>
    <w:rsid w:val="00D141E4"/>
    <w:rsid w:val="00D55824"/>
    <w:rsid w:val="00D82DD3"/>
    <w:rsid w:val="00DA77E7"/>
    <w:rsid w:val="00DC7F56"/>
    <w:rsid w:val="00DD1A5D"/>
    <w:rsid w:val="00DF0E17"/>
    <w:rsid w:val="00DF221D"/>
    <w:rsid w:val="00E00C3C"/>
    <w:rsid w:val="00E01138"/>
    <w:rsid w:val="00E10422"/>
    <w:rsid w:val="00E34623"/>
    <w:rsid w:val="00E45730"/>
    <w:rsid w:val="00E55FE3"/>
    <w:rsid w:val="00E578F5"/>
    <w:rsid w:val="00E86F72"/>
    <w:rsid w:val="00E968FE"/>
    <w:rsid w:val="00EB5C74"/>
    <w:rsid w:val="00EC1AC4"/>
    <w:rsid w:val="00EE1877"/>
    <w:rsid w:val="00EE1E38"/>
    <w:rsid w:val="00EF437C"/>
    <w:rsid w:val="00F0113E"/>
    <w:rsid w:val="00F765C0"/>
    <w:rsid w:val="00FA6E0C"/>
    <w:rsid w:val="00FD4C0B"/>
    <w:rsid w:val="00FE3ED5"/>
    <w:rsid w:val="00FE57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23FC8"/>
  <w15:chartTrackingRefBased/>
  <w15:docId w15:val="{5FA71388-3FA1-4782-A0B4-5CD17E8F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43"/>
    <w:pPr>
      <w:jc w:val="left"/>
    </w:pPr>
    <w:rPr>
      <w:rFonts w:ascii="Times New Roman" w:eastAsia="Times New Roman" w:hAnsi="Times New Roman" w:cs="Times New Roman"/>
      <w:sz w:val="24"/>
      <w:szCs w:val="24"/>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En-tteCar">
    <w:name w:val="En-tête Car"/>
    <w:basedOn w:val="Policepardfaut"/>
    <w:link w:val="En-tte"/>
    <w:uiPriority w:val="99"/>
    <w:rsid w:val="0012550F"/>
  </w:style>
  <w:style w:type="paragraph" w:styleId="Pieddepage">
    <w:name w:val="footer"/>
    <w:basedOn w:val="Normal"/>
    <w:link w:val="PieddepageCar"/>
    <w:uiPriority w:val="99"/>
    <w:unhideWhenUsed/>
    <w:rsid w:val="0012550F"/>
    <w:pPr>
      <w:tabs>
        <w:tab w:val="center" w:pos="4536"/>
        <w:tab w:val="right" w:pos="9072"/>
      </w:tabs>
      <w:jc w:val="both"/>
    </w:pPr>
    <w:rPr>
      <w:rFonts w:ascii="Arial" w:eastAsiaTheme="minorHAnsi" w:hAnsi="Arial" w:cstheme="minorBidi"/>
      <w:sz w:val="20"/>
      <w:szCs w:val="22"/>
      <w:lang w:val="fr-FR" w:eastAsia="en-US"/>
    </w:rPr>
  </w:style>
  <w:style w:type="character" w:customStyle="1" w:styleId="PieddepageCar">
    <w:name w:val="Pied de page Car"/>
    <w:basedOn w:val="Policepardfaut"/>
    <w:link w:val="Pieddepage"/>
    <w:uiPriority w:val="99"/>
    <w:rsid w:val="0012550F"/>
  </w:style>
  <w:style w:type="paragraph" w:styleId="Paragraphedeliste">
    <w:name w:val="List Paragraph"/>
    <w:basedOn w:val="Normal"/>
    <w:uiPriority w:val="34"/>
    <w:qFormat/>
    <w:rsid w:val="005B1110"/>
    <w:pPr>
      <w:ind w:left="720"/>
      <w:contextualSpacing/>
      <w:jc w:val="both"/>
    </w:pPr>
    <w:rPr>
      <w:rFonts w:ascii="Arial" w:eastAsiaTheme="minorHAnsi" w:hAnsi="Arial" w:cstheme="minorBidi"/>
      <w:sz w:val="20"/>
      <w:szCs w:val="22"/>
      <w:lang w:val="fr-FR" w:eastAsia="en-US"/>
    </w:rPr>
  </w:style>
  <w:style w:type="paragraph" w:styleId="Notedebasdepage">
    <w:name w:val="footnote text"/>
    <w:basedOn w:val="Normal"/>
    <w:link w:val="NotedebasdepageCar"/>
    <w:uiPriority w:val="99"/>
    <w:semiHidden/>
    <w:unhideWhenUsed/>
    <w:rsid w:val="00E45730"/>
    <w:pPr>
      <w:jc w:val="both"/>
    </w:pPr>
    <w:rPr>
      <w:rFonts w:ascii="Arial" w:eastAsiaTheme="minorHAnsi" w:hAnsi="Arial" w:cstheme="minorBidi"/>
      <w:sz w:val="20"/>
      <w:szCs w:val="20"/>
      <w:lang w:val="fr-FR" w:eastAsia="en-US"/>
    </w:rPr>
  </w:style>
  <w:style w:type="character" w:customStyle="1" w:styleId="NotedebasdepageCar">
    <w:name w:val="Note de bas de page Car"/>
    <w:basedOn w:val="Policepardfaut"/>
    <w:link w:val="Notedebasdepage"/>
    <w:uiPriority w:val="99"/>
    <w:semiHidden/>
    <w:rsid w:val="00E45730"/>
    <w:rPr>
      <w:sz w:val="20"/>
      <w:szCs w:val="20"/>
    </w:rPr>
  </w:style>
  <w:style w:type="character" w:styleId="Appelnotedebasdep">
    <w:name w:val="footnote reference"/>
    <w:basedOn w:val="Policepardfaut"/>
    <w:uiPriority w:val="99"/>
    <w:semiHidden/>
    <w:unhideWhenUsed/>
    <w:rsid w:val="00E45730"/>
    <w:rPr>
      <w:vertAlign w:val="superscript"/>
    </w:rPr>
  </w:style>
  <w:style w:type="character" w:styleId="Lienhypertexte">
    <w:name w:val="Hyperlink"/>
    <w:basedOn w:val="Policepardfaut"/>
    <w:uiPriority w:val="99"/>
    <w:unhideWhenUsed/>
    <w:rsid w:val="0025518A"/>
    <w:rPr>
      <w:color w:val="0563C1" w:themeColor="hyperlink"/>
      <w:u w:val="single"/>
    </w:rPr>
  </w:style>
  <w:style w:type="character" w:styleId="Mentionnonrsolue">
    <w:name w:val="Unresolved Mention"/>
    <w:basedOn w:val="Policepardfaut"/>
    <w:uiPriority w:val="99"/>
    <w:semiHidden/>
    <w:unhideWhenUsed/>
    <w:rsid w:val="0025518A"/>
    <w:rPr>
      <w:color w:val="605E5C"/>
      <w:shd w:val="clear" w:color="auto" w:fill="E1DFDD"/>
    </w:rPr>
  </w:style>
  <w:style w:type="paragraph" w:styleId="NormalWeb">
    <w:name w:val="Normal (Web)"/>
    <w:basedOn w:val="Normal"/>
    <w:uiPriority w:val="99"/>
    <w:semiHidden/>
    <w:unhideWhenUsed/>
    <w:rsid w:val="00506BB0"/>
    <w:pPr>
      <w:spacing w:before="100" w:beforeAutospacing="1" w:after="100" w:afterAutospacing="1"/>
    </w:pPr>
  </w:style>
  <w:style w:type="character" w:customStyle="1" w:styleId="texte">
    <w:name w:val="texte"/>
    <w:basedOn w:val="Policepardfaut"/>
    <w:rsid w:val="0070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265371">
      <w:bodyDiv w:val="1"/>
      <w:marLeft w:val="0"/>
      <w:marRight w:val="0"/>
      <w:marTop w:val="0"/>
      <w:marBottom w:val="0"/>
      <w:divBdr>
        <w:top w:val="none" w:sz="0" w:space="0" w:color="auto"/>
        <w:left w:val="none" w:sz="0" w:space="0" w:color="auto"/>
        <w:bottom w:val="none" w:sz="0" w:space="0" w:color="auto"/>
        <w:right w:val="none" w:sz="0" w:space="0" w:color="auto"/>
      </w:divBdr>
    </w:div>
    <w:div w:id="743575070">
      <w:bodyDiv w:val="1"/>
      <w:marLeft w:val="0"/>
      <w:marRight w:val="0"/>
      <w:marTop w:val="0"/>
      <w:marBottom w:val="0"/>
      <w:divBdr>
        <w:top w:val="none" w:sz="0" w:space="0" w:color="auto"/>
        <w:left w:val="none" w:sz="0" w:space="0" w:color="auto"/>
        <w:bottom w:val="none" w:sz="0" w:space="0" w:color="auto"/>
        <w:right w:val="none" w:sz="0" w:space="0" w:color="auto"/>
      </w:divBdr>
    </w:div>
    <w:div w:id="1030373279">
      <w:bodyDiv w:val="1"/>
      <w:marLeft w:val="0"/>
      <w:marRight w:val="0"/>
      <w:marTop w:val="0"/>
      <w:marBottom w:val="0"/>
      <w:divBdr>
        <w:top w:val="none" w:sz="0" w:space="0" w:color="auto"/>
        <w:left w:val="none" w:sz="0" w:space="0" w:color="auto"/>
        <w:bottom w:val="none" w:sz="0" w:space="0" w:color="auto"/>
        <w:right w:val="none" w:sz="0" w:space="0" w:color="auto"/>
      </w:divBdr>
    </w:div>
    <w:div w:id="1145971340">
      <w:bodyDiv w:val="1"/>
      <w:marLeft w:val="0"/>
      <w:marRight w:val="0"/>
      <w:marTop w:val="0"/>
      <w:marBottom w:val="0"/>
      <w:divBdr>
        <w:top w:val="none" w:sz="0" w:space="0" w:color="auto"/>
        <w:left w:val="none" w:sz="0" w:space="0" w:color="auto"/>
        <w:bottom w:val="none" w:sz="0" w:space="0" w:color="auto"/>
        <w:right w:val="none" w:sz="0" w:space="0" w:color="auto"/>
      </w:divBdr>
    </w:div>
    <w:div w:id="1585913170">
      <w:bodyDiv w:val="1"/>
      <w:marLeft w:val="0"/>
      <w:marRight w:val="0"/>
      <w:marTop w:val="0"/>
      <w:marBottom w:val="0"/>
      <w:divBdr>
        <w:top w:val="none" w:sz="0" w:space="0" w:color="auto"/>
        <w:left w:val="none" w:sz="0" w:space="0" w:color="auto"/>
        <w:bottom w:val="none" w:sz="0" w:space="0" w:color="auto"/>
        <w:right w:val="none" w:sz="0" w:space="0" w:color="auto"/>
      </w:divBdr>
    </w:div>
    <w:div w:id="1997487014">
      <w:bodyDiv w:val="1"/>
      <w:marLeft w:val="0"/>
      <w:marRight w:val="0"/>
      <w:marTop w:val="0"/>
      <w:marBottom w:val="0"/>
      <w:divBdr>
        <w:top w:val="none" w:sz="0" w:space="0" w:color="auto"/>
        <w:left w:val="none" w:sz="0" w:space="0" w:color="auto"/>
        <w:bottom w:val="none" w:sz="0" w:space="0" w:color="auto"/>
        <w:right w:val="none" w:sz="0" w:space="0" w:color="auto"/>
      </w:divBdr>
      <w:divsChild>
        <w:div w:id="1654869591">
          <w:marLeft w:val="0"/>
          <w:marRight w:val="0"/>
          <w:marTop w:val="0"/>
          <w:marBottom w:val="0"/>
          <w:divBdr>
            <w:top w:val="none" w:sz="0" w:space="0" w:color="auto"/>
            <w:left w:val="none" w:sz="0" w:space="0" w:color="auto"/>
            <w:bottom w:val="none" w:sz="0" w:space="0" w:color="auto"/>
            <w:right w:val="none" w:sz="0" w:space="0" w:color="auto"/>
          </w:divBdr>
        </w:div>
      </w:divsChild>
    </w:div>
    <w:div w:id="2047946579">
      <w:bodyDiv w:val="1"/>
      <w:marLeft w:val="0"/>
      <w:marRight w:val="0"/>
      <w:marTop w:val="0"/>
      <w:marBottom w:val="0"/>
      <w:divBdr>
        <w:top w:val="none" w:sz="0" w:space="0" w:color="auto"/>
        <w:left w:val="none" w:sz="0" w:space="0" w:color="auto"/>
        <w:bottom w:val="none" w:sz="0" w:space="0" w:color="auto"/>
        <w:right w:val="none" w:sz="0" w:space="0" w:color="auto"/>
      </w:divBdr>
      <w:divsChild>
        <w:div w:id="1976566967">
          <w:marLeft w:val="0"/>
          <w:marRight w:val="0"/>
          <w:marTop w:val="0"/>
          <w:marBottom w:val="0"/>
          <w:divBdr>
            <w:top w:val="none" w:sz="0" w:space="0" w:color="auto"/>
            <w:left w:val="none" w:sz="0" w:space="0" w:color="auto"/>
            <w:bottom w:val="none" w:sz="0" w:space="0" w:color="auto"/>
            <w:right w:val="none" w:sz="0" w:space="0" w:color="auto"/>
          </w:divBdr>
          <w:divsChild>
            <w:div w:id="618991757">
              <w:marLeft w:val="0"/>
              <w:marRight w:val="0"/>
              <w:marTop w:val="0"/>
              <w:marBottom w:val="0"/>
              <w:divBdr>
                <w:top w:val="none" w:sz="0" w:space="0" w:color="auto"/>
                <w:left w:val="none" w:sz="0" w:space="0" w:color="auto"/>
                <w:bottom w:val="none" w:sz="0" w:space="0" w:color="auto"/>
                <w:right w:val="none" w:sz="0" w:space="0" w:color="auto"/>
              </w:divBdr>
              <w:divsChild>
                <w:div w:id="1402830074">
                  <w:marLeft w:val="0"/>
                  <w:marRight w:val="0"/>
                  <w:marTop w:val="0"/>
                  <w:marBottom w:val="0"/>
                  <w:divBdr>
                    <w:top w:val="none" w:sz="0" w:space="0" w:color="auto"/>
                    <w:left w:val="none" w:sz="0" w:space="0" w:color="auto"/>
                    <w:bottom w:val="none" w:sz="0" w:space="0" w:color="auto"/>
                    <w:right w:val="none" w:sz="0" w:space="0" w:color="auto"/>
                  </w:divBdr>
                  <w:divsChild>
                    <w:div w:id="9314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Protection de l’adulte &amp; de l’enfant (APEA / PAFA)</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CJX</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75DA2738-E9FB-B347-9F08-089D3DFEFDDD}">
  <ds:schemaRefs>
    <ds:schemaRef ds:uri="http://schemas.openxmlformats.org/officeDocument/2006/bibliography"/>
  </ds:schemaRefs>
</ds:datastoreItem>
</file>

<file path=customXml/itemProps2.xml><?xml version="1.0" encoding="utf-8"?>
<ds:datastoreItem xmlns:ds="http://schemas.openxmlformats.org/officeDocument/2006/customXml" ds:itemID="{DB343EFC-07F0-4ED0-91C9-AF7616E9CC6C}"/>
</file>

<file path=customXml/itemProps3.xml><?xml version="1.0" encoding="utf-8"?>
<ds:datastoreItem xmlns:ds="http://schemas.openxmlformats.org/officeDocument/2006/customXml" ds:itemID="{27CE4D6D-69E4-4F03-95C4-3453039BF2C2}"/>
</file>

<file path=customXml/itemProps4.xml><?xml version="1.0" encoding="utf-8"?>
<ds:datastoreItem xmlns:ds="http://schemas.openxmlformats.org/officeDocument/2006/customXml" ds:itemID="{CD221266-3D22-45C9-AF2F-B3C2B3D07665}"/>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5623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Laurence Petoud</cp:lastModifiedBy>
  <cp:revision>22</cp:revision>
  <cp:lastPrinted>2021-01-07T11:12:00Z</cp:lastPrinted>
  <dcterms:created xsi:type="dcterms:W3CDTF">2020-12-30T22:19:00Z</dcterms:created>
  <dcterms:modified xsi:type="dcterms:W3CDTF">2023-05-13T13:59:00Z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