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62B5C" w14:textId="2D41233A" w:rsidR="00421D02" w:rsidRPr="00056E43" w:rsidRDefault="00CA5028" w:rsidP="00056E43">
      <w:pPr>
        <w:jc w:val="both"/>
        <w:rPr>
          <w:rFonts w:ascii="Arial" w:hAnsi="Arial" w:cs="Arial"/>
          <w:sz w:val="22"/>
          <w:szCs w:val="22"/>
        </w:rPr>
      </w:pPr>
      <w:r>
        <w:rPr>
          <w:rFonts w:ascii="Arial" w:hAnsi="Arial" w:cs="Arial"/>
          <w:b/>
          <w:bCs/>
          <w:caps/>
          <w:sz w:val="22"/>
          <w:szCs w:val="22"/>
        </w:rPr>
        <w:t xml:space="preserve">droits des patients </w:t>
      </w:r>
    </w:p>
    <w:p w14:paraId="4FA54592" w14:textId="36F12955" w:rsidR="001432FF" w:rsidRDefault="001432FF" w:rsidP="00056E43">
      <w:pPr>
        <w:pBdr>
          <w:bottom w:val="single" w:sz="12" w:space="1" w:color="auto"/>
        </w:pBdr>
        <w:jc w:val="both"/>
        <w:rPr>
          <w:rFonts w:ascii="Arial" w:hAnsi="Arial" w:cs="Arial"/>
          <w:b/>
          <w:bCs/>
          <w:smallCaps/>
          <w:sz w:val="22"/>
          <w:szCs w:val="22"/>
        </w:rPr>
      </w:pPr>
    </w:p>
    <w:p w14:paraId="0013A892" w14:textId="0D36A476" w:rsidR="00CA5028" w:rsidRPr="00056E43" w:rsidRDefault="00CA5028" w:rsidP="00056E43">
      <w:pPr>
        <w:pBdr>
          <w:bottom w:val="single" w:sz="12" w:space="1" w:color="auto"/>
        </w:pBdr>
        <w:jc w:val="both"/>
        <w:rPr>
          <w:rFonts w:ascii="Arial" w:hAnsi="Arial" w:cs="Arial"/>
          <w:b/>
          <w:bCs/>
          <w:smallCaps/>
          <w:sz w:val="22"/>
          <w:szCs w:val="22"/>
        </w:rPr>
      </w:pPr>
      <w:r>
        <w:rPr>
          <w:rFonts w:ascii="Arial" w:hAnsi="Arial" w:cs="Arial"/>
          <w:b/>
          <w:bCs/>
          <w:smallCaps/>
          <w:sz w:val="22"/>
          <w:szCs w:val="22"/>
        </w:rPr>
        <w:t xml:space="preserve">est-ce qu’un enfant de 12 ans a la </w:t>
      </w:r>
      <w:proofErr w:type="spellStart"/>
      <w:r>
        <w:rPr>
          <w:rFonts w:ascii="Arial" w:hAnsi="Arial" w:cs="Arial"/>
          <w:b/>
          <w:bCs/>
          <w:smallCaps/>
          <w:sz w:val="22"/>
          <w:szCs w:val="22"/>
        </w:rPr>
        <w:t>capacite</w:t>
      </w:r>
      <w:proofErr w:type="spellEnd"/>
      <w:r>
        <w:rPr>
          <w:rFonts w:ascii="Arial" w:hAnsi="Arial" w:cs="Arial"/>
          <w:b/>
          <w:bCs/>
          <w:smallCaps/>
          <w:sz w:val="22"/>
          <w:szCs w:val="22"/>
        </w:rPr>
        <w:t xml:space="preserve"> de discernement ? </w:t>
      </w:r>
    </w:p>
    <w:p w14:paraId="2E78BD51" w14:textId="77777777" w:rsidR="003C40E5" w:rsidRPr="00705353" w:rsidRDefault="003C40E5" w:rsidP="00CA5028">
      <w:pPr>
        <w:shd w:val="clear" w:color="auto" w:fill="FFFFFF"/>
        <w:jc w:val="both"/>
        <w:rPr>
          <w:rFonts w:ascii="Arial" w:hAnsi="Arial" w:cs="Arial"/>
          <w:sz w:val="22"/>
          <w:szCs w:val="22"/>
        </w:rPr>
      </w:pPr>
    </w:p>
    <w:p w14:paraId="6A46AB8E" w14:textId="47D97D1B" w:rsidR="00CA5028" w:rsidRPr="00705353" w:rsidRDefault="00CA5028" w:rsidP="00CA5028">
      <w:pPr>
        <w:jc w:val="both"/>
        <w:rPr>
          <w:rFonts w:ascii="Arial" w:hAnsi="Arial" w:cs="Arial"/>
          <w:sz w:val="22"/>
          <w:szCs w:val="22"/>
        </w:rPr>
      </w:pPr>
      <w:r w:rsidRPr="00705353">
        <w:rPr>
          <w:rFonts w:ascii="Arial" w:hAnsi="Arial" w:cs="Arial"/>
          <w:sz w:val="22"/>
          <w:szCs w:val="22"/>
        </w:rPr>
        <w:t>La c</w:t>
      </w:r>
      <w:r w:rsidR="003C40E5">
        <w:rPr>
          <w:rFonts w:ascii="Arial" w:hAnsi="Arial" w:cs="Arial"/>
          <w:sz w:val="22"/>
          <w:szCs w:val="22"/>
        </w:rPr>
        <w:t>a</w:t>
      </w:r>
      <w:r w:rsidRPr="00705353">
        <w:rPr>
          <w:rFonts w:ascii="Arial" w:hAnsi="Arial" w:cs="Arial"/>
          <w:sz w:val="22"/>
          <w:szCs w:val="22"/>
        </w:rPr>
        <w:t xml:space="preserve">pacité de discernement est définie à l’art. 16 CC : elle est </w:t>
      </w:r>
      <w:r w:rsidRPr="00705353">
        <w:rPr>
          <w:rFonts w:ascii="Arial" w:hAnsi="Arial" w:cs="Arial"/>
          <w:b/>
          <w:bCs/>
          <w:sz w:val="22"/>
          <w:szCs w:val="22"/>
        </w:rPr>
        <w:t>présumée</w:t>
      </w:r>
      <w:r w:rsidRPr="00705353">
        <w:rPr>
          <w:rFonts w:ascii="Arial" w:hAnsi="Arial" w:cs="Arial"/>
          <w:sz w:val="22"/>
          <w:szCs w:val="22"/>
        </w:rPr>
        <w:t xml:space="preserve"> sauf en cas d’existence d’une ou plusieurs des causes citées par l’article, à savoir « son jeune âge, de déficience mentale, de troubles psychiques, d’ivresse ou d’autres causes semblables ». </w:t>
      </w:r>
    </w:p>
    <w:p w14:paraId="34304BD1" w14:textId="77777777" w:rsidR="00CA5028" w:rsidRPr="00705353" w:rsidRDefault="00CA5028" w:rsidP="00CA5028">
      <w:pPr>
        <w:jc w:val="both"/>
        <w:rPr>
          <w:rFonts w:ascii="Arial" w:hAnsi="Arial" w:cs="Arial"/>
          <w:sz w:val="22"/>
          <w:szCs w:val="22"/>
        </w:rPr>
      </w:pPr>
    </w:p>
    <w:p w14:paraId="3BD9539D"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La capacité de discernement comporte deux éléments : </w:t>
      </w:r>
    </w:p>
    <w:p w14:paraId="1B697AD7" w14:textId="77777777" w:rsidR="00CA5028" w:rsidRPr="00705353" w:rsidRDefault="00CA5028" w:rsidP="00FB5598">
      <w:pPr>
        <w:pStyle w:val="Paragraphedeliste"/>
        <w:numPr>
          <w:ilvl w:val="0"/>
          <w:numId w:val="1"/>
        </w:numPr>
        <w:shd w:val="clear" w:color="auto" w:fill="FFFFFF"/>
        <w:rPr>
          <w:rFonts w:cs="Arial"/>
          <w:sz w:val="22"/>
        </w:rPr>
      </w:pPr>
      <w:r w:rsidRPr="00705353">
        <w:rPr>
          <w:rFonts w:cs="Arial"/>
          <w:b/>
          <w:bCs/>
          <w:sz w:val="22"/>
        </w:rPr>
        <w:t>un élément intellectuel</w:t>
      </w:r>
      <w:r w:rsidRPr="00705353">
        <w:rPr>
          <w:rFonts w:cs="Arial"/>
          <w:sz w:val="22"/>
        </w:rPr>
        <w:t xml:space="preserve">, la capacité d’apprécier le sens, l’opportunité et les effets d’un acte déterminé, et </w:t>
      </w:r>
    </w:p>
    <w:p w14:paraId="389A448D" w14:textId="77777777" w:rsidR="00CA5028" w:rsidRPr="00705353" w:rsidRDefault="00CA5028" w:rsidP="00FB5598">
      <w:pPr>
        <w:pStyle w:val="Paragraphedeliste"/>
        <w:numPr>
          <w:ilvl w:val="0"/>
          <w:numId w:val="1"/>
        </w:numPr>
        <w:shd w:val="clear" w:color="auto" w:fill="FFFFFF"/>
        <w:rPr>
          <w:rFonts w:cs="Arial"/>
          <w:sz w:val="22"/>
        </w:rPr>
      </w:pPr>
      <w:r w:rsidRPr="00705353">
        <w:rPr>
          <w:rFonts w:cs="Arial"/>
          <w:b/>
          <w:bCs/>
          <w:sz w:val="22"/>
        </w:rPr>
        <w:t>un élément volontaire ou caractériel</w:t>
      </w:r>
      <w:r w:rsidRPr="00705353">
        <w:rPr>
          <w:rFonts w:cs="Arial"/>
          <w:sz w:val="22"/>
        </w:rPr>
        <w:t xml:space="preserve">, la faculté d’agir en fonction de cette compréhension raisonnable selon sa libre volonté (…). La capacité de discernement est relative : </w:t>
      </w:r>
      <w:r w:rsidRPr="00705353">
        <w:rPr>
          <w:rFonts w:cs="Arial"/>
          <w:b/>
          <w:bCs/>
          <w:sz w:val="22"/>
        </w:rPr>
        <w:t>elle ne doit pas être appréciée dans l’abstrait, mais concrètement</w:t>
      </w:r>
      <w:r w:rsidRPr="00705353">
        <w:rPr>
          <w:rFonts w:cs="Arial"/>
          <w:sz w:val="22"/>
        </w:rPr>
        <w:t xml:space="preserve">, </w:t>
      </w:r>
      <w:r w:rsidRPr="00705353">
        <w:rPr>
          <w:rFonts w:cs="Arial"/>
          <w:b/>
          <w:bCs/>
          <w:sz w:val="22"/>
          <w:u w:val="single"/>
        </w:rPr>
        <w:t>par rapport à un acte déterminé</w:t>
      </w:r>
      <w:r w:rsidRPr="00705353">
        <w:rPr>
          <w:rFonts w:cs="Arial"/>
          <w:sz w:val="22"/>
        </w:rPr>
        <w:t xml:space="preserve">, en fonction de sa nature et de son importance, les facultés requises devant exister au moment de l’acte, (…) la capacité de discernement doit être présumée, sur la base de l’expérience générale de la vie. </w:t>
      </w:r>
    </w:p>
    <w:p w14:paraId="1144A2C7" w14:textId="77777777" w:rsidR="00CA5028" w:rsidRPr="00705353" w:rsidRDefault="00CA5028" w:rsidP="00CA5028">
      <w:pPr>
        <w:shd w:val="clear" w:color="auto" w:fill="FFFFFF"/>
        <w:jc w:val="both"/>
        <w:rPr>
          <w:rFonts w:ascii="Arial" w:hAnsi="Arial" w:cs="Arial"/>
          <w:sz w:val="22"/>
          <w:szCs w:val="22"/>
        </w:rPr>
      </w:pPr>
    </w:p>
    <w:p w14:paraId="11255FB2"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Ainsi, pour répondre à la question, une réponse « abstraite » n’est pas possible, il s’agirait de déterminer quelle est la problématique au sujet de laquelle cet enfant doit ou souhaiterait se prononcer ; en effet, il est admis que jusqu’à 10 ans, un enfant n’a pas la capacité de discernement et qu’elle s’acquiert ensuite progressivement, selon l’objet. </w:t>
      </w:r>
    </w:p>
    <w:p w14:paraId="61D4FA5E" w14:textId="77777777" w:rsidR="00CA5028" w:rsidRPr="00705353" w:rsidRDefault="00CA5028" w:rsidP="00CA5028">
      <w:pPr>
        <w:shd w:val="clear" w:color="auto" w:fill="FFFFFF"/>
        <w:jc w:val="both"/>
        <w:rPr>
          <w:rFonts w:ascii="Arial" w:hAnsi="Arial" w:cs="Arial"/>
          <w:sz w:val="22"/>
          <w:szCs w:val="22"/>
        </w:rPr>
      </w:pPr>
    </w:p>
    <w:p w14:paraId="4295C5A9"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Ainsi, on pourrait imaginer que la capacité de discernement soit donnée pour une question comme « acceptes-tu la vaccination contre le HPV ? » puisque sauf troubles autres, le pré-ado de 12 ans peut </w:t>
      </w:r>
    </w:p>
    <w:p w14:paraId="06CCB240" w14:textId="77777777" w:rsidR="00CA5028" w:rsidRPr="00705353" w:rsidRDefault="00CA5028" w:rsidP="00FB5598">
      <w:pPr>
        <w:pStyle w:val="Paragraphedeliste"/>
        <w:numPr>
          <w:ilvl w:val="0"/>
          <w:numId w:val="2"/>
        </w:numPr>
        <w:shd w:val="clear" w:color="auto" w:fill="FFFFFF"/>
        <w:rPr>
          <w:rFonts w:cs="Arial"/>
          <w:sz w:val="22"/>
        </w:rPr>
      </w:pPr>
      <w:r w:rsidRPr="00705353">
        <w:rPr>
          <w:rFonts w:cs="Arial"/>
          <w:b/>
          <w:bCs/>
          <w:sz w:val="22"/>
        </w:rPr>
        <w:t>comprendre</w:t>
      </w:r>
      <w:r w:rsidRPr="00705353">
        <w:rPr>
          <w:rFonts w:cs="Arial"/>
          <w:sz w:val="22"/>
        </w:rPr>
        <w:t xml:space="preserve">, lorsqu’expliqué dans un « jargon » approprié (devoir d’information du personnel médical), </w:t>
      </w:r>
    </w:p>
    <w:p w14:paraId="75DEEA28" w14:textId="77777777" w:rsidR="00CA5028" w:rsidRPr="00705353" w:rsidRDefault="00CA5028" w:rsidP="00FB5598">
      <w:pPr>
        <w:pStyle w:val="Paragraphedeliste"/>
        <w:numPr>
          <w:ilvl w:val="0"/>
          <w:numId w:val="1"/>
        </w:numPr>
        <w:shd w:val="clear" w:color="auto" w:fill="FFFFFF"/>
        <w:rPr>
          <w:rFonts w:cs="Arial"/>
          <w:sz w:val="22"/>
        </w:rPr>
      </w:pPr>
      <w:r w:rsidRPr="00705353">
        <w:rPr>
          <w:rFonts w:cs="Arial"/>
          <w:sz w:val="22"/>
        </w:rPr>
        <w:t xml:space="preserve">le  but de cette vaccination </w:t>
      </w:r>
    </w:p>
    <w:p w14:paraId="03CA077B" w14:textId="77777777" w:rsidR="00CA5028" w:rsidRPr="00705353" w:rsidRDefault="00CA5028" w:rsidP="00FB5598">
      <w:pPr>
        <w:pStyle w:val="Paragraphedeliste"/>
        <w:numPr>
          <w:ilvl w:val="0"/>
          <w:numId w:val="1"/>
        </w:numPr>
        <w:shd w:val="clear" w:color="auto" w:fill="FFFFFF"/>
        <w:rPr>
          <w:rFonts w:cs="Arial"/>
          <w:sz w:val="22"/>
        </w:rPr>
      </w:pPr>
      <w:r w:rsidRPr="00705353">
        <w:rPr>
          <w:rFonts w:cs="Arial"/>
          <w:sz w:val="22"/>
        </w:rPr>
        <w:t>les éventuels effets secondaires</w:t>
      </w:r>
    </w:p>
    <w:p w14:paraId="788DB267" w14:textId="77777777" w:rsidR="00CA5028" w:rsidRPr="00705353" w:rsidRDefault="00CA5028" w:rsidP="00FB5598">
      <w:pPr>
        <w:pStyle w:val="Paragraphedeliste"/>
        <w:numPr>
          <w:ilvl w:val="0"/>
          <w:numId w:val="1"/>
        </w:numPr>
        <w:shd w:val="clear" w:color="auto" w:fill="FFFFFF"/>
        <w:rPr>
          <w:rFonts w:cs="Arial"/>
          <w:sz w:val="22"/>
        </w:rPr>
      </w:pPr>
      <w:r w:rsidRPr="00705353">
        <w:rPr>
          <w:rFonts w:cs="Arial"/>
          <w:sz w:val="22"/>
        </w:rPr>
        <w:t>le prix, à savoir la gratuité dans le cadre scolaire</w:t>
      </w:r>
    </w:p>
    <w:p w14:paraId="6F020683" w14:textId="77777777" w:rsidR="00CA5028" w:rsidRPr="00705353" w:rsidRDefault="00CA5028" w:rsidP="00FB5598">
      <w:pPr>
        <w:pStyle w:val="Paragraphedeliste"/>
        <w:numPr>
          <w:ilvl w:val="0"/>
          <w:numId w:val="1"/>
        </w:numPr>
        <w:shd w:val="clear" w:color="auto" w:fill="FFFFFF"/>
        <w:rPr>
          <w:rFonts w:cs="Arial"/>
          <w:sz w:val="22"/>
        </w:rPr>
      </w:pPr>
      <w:r w:rsidRPr="00705353">
        <w:rPr>
          <w:rFonts w:cs="Arial"/>
          <w:sz w:val="22"/>
        </w:rPr>
        <w:t xml:space="preserve">le nombre d’injections nécessaires pour obtenir une couverture vaccinale etc.. </w:t>
      </w:r>
    </w:p>
    <w:p w14:paraId="3BC0BB6A" w14:textId="77777777" w:rsidR="00CA5028" w:rsidRPr="00705353" w:rsidRDefault="00CA5028" w:rsidP="00FB5598">
      <w:pPr>
        <w:pStyle w:val="Paragraphedeliste"/>
        <w:numPr>
          <w:ilvl w:val="0"/>
          <w:numId w:val="2"/>
        </w:numPr>
        <w:shd w:val="clear" w:color="auto" w:fill="FFFFFF"/>
        <w:rPr>
          <w:rFonts w:cs="Arial"/>
          <w:sz w:val="22"/>
        </w:rPr>
      </w:pPr>
      <w:r w:rsidRPr="00705353">
        <w:rPr>
          <w:rFonts w:cs="Arial"/>
          <w:b/>
          <w:bCs/>
          <w:sz w:val="22"/>
        </w:rPr>
        <w:t>se déterminer</w:t>
      </w:r>
      <w:r w:rsidRPr="00705353">
        <w:rPr>
          <w:rFonts w:cs="Arial"/>
          <w:sz w:val="22"/>
        </w:rPr>
        <w:t xml:space="preserve"> (accepter ou refuser) la vaccination proposée.</w:t>
      </w:r>
    </w:p>
    <w:p w14:paraId="6BE293AB" w14:textId="77777777" w:rsidR="00CA5028" w:rsidRPr="00705353" w:rsidRDefault="00CA5028" w:rsidP="00CA5028">
      <w:pPr>
        <w:shd w:val="clear" w:color="auto" w:fill="FFFFFF"/>
        <w:jc w:val="both"/>
        <w:rPr>
          <w:rFonts w:ascii="Arial" w:hAnsi="Arial" w:cs="Arial"/>
          <w:sz w:val="22"/>
          <w:szCs w:val="22"/>
        </w:rPr>
      </w:pPr>
    </w:p>
    <w:p w14:paraId="6E47EFDE"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En revanche, face à un traitement médical « lourd », il est probable que le même préado n’aura pas la capacité de discernement pour déterminer s’il « souhaite » commencer par une radiothérapie ou par une chimiothérapie. </w:t>
      </w:r>
    </w:p>
    <w:p w14:paraId="58CA1574" w14:textId="77777777" w:rsidR="00CA5028" w:rsidRPr="00705353" w:rsidRDefault="00CA5028" w:rsidP="00CA5028">
      <w:pPr>
        <w:shd w:val="clear" w:color="auto" w:fill="FFFFFF"/>
        <w:jc w:val="both"/>
        <w:rPr>
          <w:rFonts w:ascii="Arial" w:hAnsi="Arial" w:cs="Arial"/>
          <w:sz w:val="22"/>
          <w:szCs w:val="22"/>
        </w:rPr>
      </w:pPr>
    </w:p>
    <w:p w14:paraId="5BA5DC14"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Dans ce cas, s’il est établi que la capacité de discernement fait défaut pour cette question précise, il s’agira de déterminer qui est le représentant de l’enfant de 12 ans. Selon une certaine vraisemblance, il s’agira de ses parents, la question de l’autorité parentale étant ouverte s’ils sont divorcés. </w:t>
      </w:r>
    </w:p>
    <w:p w14:paraId="04F8DC69" w14:textId="77777777" w:rsidR="00CA5028" w:rsidRPr="00705353" w:rsidRDefault="00CA5028" w:rsidP="00CA5028">
      <w:pPr>
        <w:shd w:val="clear" w:color="auto" w:fill="FFFFFF"/>
        <w:jc w:val="both"/>
        <w:rPr>
          <w:rFonts w:ascii="Arial" w:hAnsi="Arial" w:cs="Arial"/>
          <w:sz w:val="22"/>
          <w:szCs w:val="22"/>
        </w:rPr>
      </w:pPr>
    </w:p>
    <w:p w14:paraId="5A2C6642"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On peut toutefois aussi imaginer que cet enfant ait un curateur, voire un tuteur, le droit des mineurs connaissant encore la tutelle (art. 327a CC). </w:t>
      </w:r>
    </w:p>
    <w:p w14:paraId="745BE211" w14:textId="77777777" w:rsidR="00CA5028" w:rsidRPr="00705353" w:rsidRDefault="00CA5028" w:rsidP="00CA5028">
      <w:pPr>
        <w:shd w:val="clear" w:color="auto" w:fill="FFFFFF"/>
        <w:jc w:val="both"/>
        <w:rPr>
          <w:rFonts w:ascii="Arial" w:hAnsi="Arial" w:cs="Arial"/>
          <w:sz w:val="22"/>
          <w:szCs w:val="22"/>
        </w:rPr>
      </w:pPr>
    </w:p>
    <w:p w14:paraId="03FC9C31"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L’existence d’un représentant thérapeutique, désigné antérieurement par l’enfant de 12 ans, peut être selon une grande vraisemblance exclue même si les directives anticipées sont légalement « accessibles » à un mineur. </w:t>
      </w:r>
    </w:p>
    <w:p w14:paraId="0D00BA94" w14:textId="77777777" w:rsidR="00CA5028" w:rsidRPr="00705353" w:rsidRDefault="00CA5028" w:rsidP="00CA5028">
      <w:pPr>
        <w:shd w:val="clear" w:color="auto" w:fill="FFFFFF"/>
        <w:jc w:val="both"/>
        <w:rPr>
          <w:rFonts w:ascii="Arial" w:hAnsi="Arial" w:cs="Arial"/>
          <w:sz w:val="22"/>
          <w:szCs w:val="22"/>
        </w:rPr>
      </w:pPr>
    </w:p>
    <w:p w14:paraId="70026AC6"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Face à une même question, face à deux adolescents du même âge, il n’y aura pas de réponse uniforme quant au discernement : il s’agira, dans chaque cas, de déterminer s’il existe des raisons d’exclure la capacité de discernement, celui-ci étant « de plus en plus admis » lorsque l’enfant avance en âge. </w:t>
      </w:r>
    </w:p>
    <w:p w14:paraId="0AFF20B5" w14:textId="77777777" w:rsidR="003C40E5" w:rsidRDefault="003C40E5" w:rsidP="00CA5028">
      <w:pPr>
        <w:shd w:val="clear" w:color="auto" w:fill="FFFFFF"/>
        <w:jc w:val="both"/>
        <w:rPr>
          <w:rFonts w:ascii="Arial" w:hAnsi="Arial" w:cs="Arial"/>
          <w:b/>
          <w:bCs/>
          <w:sz w:val="22"/>
          <w:szCs w:val="22"/>
        </w:rPr>
      </w:pPr>
    </w:p>
    <w:p w14:paraId="3FD7E435" w14:textId="77777777" w:rsidR="003C40E5" w:rsidRDefault="003C40E5" w:rsidP="00CA5028">
      <w:pPr>
        <w:shd w:val="clear" w:color="auto" w:fill="FFFFFF"/>
        <w:jc w:val="both"/>
        <w:rPr>
          <w:rFonts w:ascii="Arial" w:hAnsi="Arial" w:cs="Arial"/>
          <w:b/>
          <w:bCs/>
          <w:sz w:val="22"/>
          <w:szCs w:val="22"/>
        </w:rPr>
      </w:pPr>
    </w:p>
    <w:p w14:paraId="21F21A3E" w14:textId="77777777" w:rsidR="003C40E5" w:rsidRPr="00056E43" w:rsidRDefault="003C40E5" w:rsidP="003C40E5">
      <w:pPr>
        <w:jc w:val="both"/>
        <w:rPr>
          <w:rFonts w:ascii="Arial" w:hAnsi="Arial" w:cs="Arial"/>
          <w:sz w:val="22"/>
          <w:szCs w:val="22"/>
        </w:rPr>
      </w:pPr>
      <w:r>
        <w:rPr>
          <w:rFonts w:ascii="Arial" w:hAnsi="Arial" w:cs="Arial"/>
          <w:b/>
          <w:bCs/>
          <w:caps/>
          <w:sz w:val="22"/>
          <w:szCs w:val="22"/>
        </w:rPr>
        <w:lastRenderedPageBreak/>
        <w:t xml:space="preserve">droits des patients </w:t>
      </w:r>
    </w:p>
    <w:p w14:paraId="5FE57611" w14:textId="77777777" w:rsidR="003C40E5" w:rsidRDefault="003C40E5" w:rsidP="003C40E5">
      <w:pPr>
        <w:pBdr>
          <w:bottom w:val="single" w:sz="12" w:space="1" w:color="auto"/>
        </w:pBdr>
        <w:jc w:val="both"/>
        <w:rPr>
          <w:rFonts w:ascii="Arial" w:hAnsi="Arial" w:cs="Arial"/>
          <w:b/>
          <w:bCs/>
          <w:smallCaps/>
          <w:sz w:val="22"/>
          <w:szCs w:val="22"/>
        </w:rPr>
      </w:pPr>
    </w:p>
    <w:p w14:paraId="00EF5733" w14:textId="1561D06A" w:rsidR="003C40E5" w:rsidRPr="00056E43" w:rsidRDefault="003C40E5" w:rsidP="003C40E5">
      <w:pPr>
        <w:pBdr>
          <w:bottom w:val="single" w:sz="12" w:space="1" w:color="auto"/>
        </w:pBdr>
        <w:jc w:val="both"/>
        <w:rPr>
          <w:rFonts w:ascii="Arial" w:hAnsi="Arial" w:cs="Arial"/>
          <w:b/>
          <w:bCs/>
          <w:smallCaps/>
          <w:sz w:val="22"/>
          <w:szCs w:val="22"/>
        </w:rPr>
      </w:pPr>
      <w:r>
        <w:rPr>
          <w:rFonts w:ascii="Arial" w:hAnsi="Arial" w:cs="Arial"/>
          <w:b/>
          <w:bCs/>
          <w:smallCaps/>
          <w:sz w:val="22"/>
          <w:szCs w:val="22"/>
        </w:rPr>
        <w:t xml:space="preserve">juridiquement, qui donne son accord pour opérer, dans les 24 heures, une personne majeure qui arrive </w:t>
      </w:r>
      <w:proofErr w:type="spellStart"/>
      <w:r>
        <w:rPr>
          <w:rFonts w:ascii="Arial" w:hAnsi="Arial" w:cs="Arial"/>
          <w:b/>
          <w:bCs/>
          <w:smallCaps/>
          <w:sz w:val="22"/>
          <w:szCs w:val="22"/>
        </w:rPr>
        <w:t>a</w:t>
      </w:r>
      <w:proofErr w:type="spellEnd"/>
      <w:r>
        <w:rPr>
          <w:rFonts w:ascii="Arial" w:hAnsi="Arial" w:cs="Arial"/>
          <w:b/>
          <w:bCs/>
          <w:smallCaps/>
          <w:sz w:val="22"/>
          <w:szCs w:val="22"/>
        </w:rPr>
        <w:t xml:space="preserve"> l’</w:t>
      </w:r>
      <w:proofErr w:type="spellStart"/>
      <w:r>
        <w:rPr>
          <w:rFonts w:ascii="Arial" w:hAnsi="Arial" w:cs="Arial"/>
          <w:b/>
          <w:bCs/>
          <w:smallCaps/>
          <w:sz w:val="22"/>
          <w:szCs w:val="22"/>
        </w:rPr>
        <w:t>hopital</w:t>
      </w:r>
      <w:proofErr w:type="spellEnd"/>
      <w:r>
        <w:rPr>
          <w:rFonts w:ascii="Arial" w:hAnsi="Arial" w:cs="Arial"/>
          <w:b/>
          <w:bCs/>
          <w:smallCaps/>
          <w:sz w:val="22"/>
          <w:szCs w:val="22"/>
        </w:rPr>
        <w:t xml:space="preserve"> inconsciente, suite </w:t>
      </w:r>
      <w:proofErr w:type="spellStart"/>
      <w:r>
        <w:rPr>
          <w:rFonts w:ascii="Arial" w:hAnsi="Arial" w:cs="Arial"/>
          <w:b/>
          <w:bCs/>
          <w:smallCaps/>
          <w:sz w:val="22"/>
          <w:szCs w:val="22"/>
        </w:rPr>
        <w:t>a</w:t>
      </w:r>
      <w:proofErr w:type="spellEnd"/>
      <w:r>
        <w:rPr>
          <w:rFonts w:ascii="Arial" w:hAnsi="Arial" w:cs="Arial"/>
          <w:b/>
          <w:bCs/>
          <w:smallCaps/>
          <w:sz w:val="22"/>
          <w:szCs w:val="22"/>
        </w:rPr>
        <w:t xml:space="preserve"> un accident de la circulation ?</w:t>
      </w:r>
    </w:p>
    <w:p w14:paraId="1B0310FC" w14:textId="77777777" w:rsidR="00CA5028" w:rsidRPr="00705353" w:rsidRDefault="00CA5028" w:rsidP="00CA5028">
      <w:pPr>
        <w:shd w:val="clear" w:color="auto" w:fill="FFFFFF"/>
        <w:jc w:val="both"/>
        <w:rPr>
          <w:rFonts w:ascii="Arial" w:hAnsi="Arial" w:cs="Arial"/>
          <w:b/>
          <w:bCs/>
          <w:sz w:val="22"/>
          <w:szCs w:val="22"/>
        </w:rPr>
      </w:pPr>
    </w:p>
    <w:p w14:paraId="5FAF64C4"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Sauf cas d’urgence, comme précisé à l’art. 372 al. 1 in fine CD, dans quel cas le médecin se détermine seul en tenant compte des intérêts constatés et supposés du patient, il s’agit d’établir qui est la personne autorisée à prendre une décision qui ne relève plus de l’urgence à proprement parler (dans les 24 heures). </w:t>
      </w:r>
    </w:p>
    <w:p w14:paraId="66B9AF82" w14:textId="77777777" w:rsidR="00CA5028" w:rsidRPr="00705353" w:rsidRDefault="00CA5028" w:rsidP="00CA5028">
      <w:pPr>
        <w:shd w:val="clear" w:color="auto" w:fill="FFFFFF"/>
        <w:jc w:val="both"/>
        <w:rPr>
          <w:rFonts w:ascii="Arial" w:hAnsi="Arial" w:cs="Arial"/>
          <w:sz w:val="22"/>
          <w:szCs w:val="22"/>
        </w:rPr>
      </w:pPr>
    </w:p>
    <w:p w14:paraId="7C8EF52D"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Au plus tard à l’arrivée du patient à l’hôpital, si la vérification n’a pas pu être faite dans l’ambulance déjà, il s’agit de vérifier en premier lieu si le patient a rédigé des directives anticipées : « </w:t>
      </w:r>
      <w:r w:rsidRPr="00705353">
        <w:rPr>
          <w:rFonts w:ascii="Arial" w:hAnsi="Arial" w:cs="Arial"/>
          <w:i/>
          <w:iCs/>
          <w:sz w:val="22"/>
          <w:szCs w:val="22"/>
        </w:rPr>
        <w:t>lorsqu’un médecin traite un patient incapable de discernement et qu’il ignore si celui-ci a rédigé des directives anticipées, il s’informe de leur existence en consultant la carte d’assuré du patient</w:t>
      </w:r>
      <w:r w:rsidRPr="00705353">
        <w:rPr>
          <w:rFonts w:ascii="Arial" w:hAnsi="Arial" w:cs="Arial"/>
          <w:sz w:val="22"/>
          <w:szCs w:val="22"/>
        </w:rPr>
        <w:t xml:space="preserve"> (…) (art. 372 al. 1 CC) </w:t>
      </w:r>
    </w:p>
    <w:p w14:paraId="1360AF38" w14:textId="77777777" w:rsidR="00CA5028" w:rsidRPr="00705353" w:rsidRDefault="00CA5028" w:rsidP="00CA5028">
      <w:pPr>
        <w:shd w:val="clear" w:color="auto" w:fill="FFFFFF"/>
        <w:jc w:val="both"/>
        <w:rPr>
          <w:rFonts w:ascii="Arial" w:hAnsi="Arial" w:cs="Arial"/>
          <w:sz w:val="22"/>
          <w:szCs w:val="22"/>
        </w:rPr>
      </w:pPr>
    </w:p>
    <w:p w14:paraId="7F2EB229" w14:textId="77777777" w:rsidR="00CA5028" w:rsidRPr="00705353" w:rsidRDefault="00CA5028" w:rsidP="00CA5028">
      <w:pPr>
        <w:shd w:val="clear" w:color="auto" w:fill="FFFFFF"/>
        <w:jc w:val="both"/>
        <w:rPr>
          <w:rFonts w:ascii="Arial" w:hAnsi="Arial" w:cs="Arial"/>
          <w:i/>
          <w:iCs/>
          <w:sz w:val="22"/>
          <w:szCs w:val="22"/>
        </w:rPr>
      </w:pPr>
      <w:r w:rsidRPr="00705353">
        <w:rPr>
          <w:rFonts w:ascii="Arial" w:hAnsi="Arial" w:cs="Arial"/>
          <w:sz w:val="22"/>
          <w:szCs w:val="22"/>
        </w:rPr>
        <w:t xml:space="preserve">Dans l’hypothèse où ni la carte </w:t>
      </w:r>
      <w:proofErr w:type="spellStart"/>
      <w:r w:rsidRPr="00705353">
        <w:rPr>
          <w:rFonts w:ascii="Arial" w:hAnsi="Arial" w:cs="Arial"/>
          <w:sz w:val="22"/>
          <w:szCs w:val="22"/>
        </w:rPr>
        <w:t>LAMal</w:t>
      </w:r>
      <w:proofErr w:type="spellEnd"/>
      <w:r w:rsidRPr="00705353">
        <w:rPr>
          <w:rFonts w:ascii="Arial" w:hAnsi="Arial" w:cs="Arial"/>
          <w:sz w:val="22"/>
          <w:szCs w:val="22"/>
        </w:rPr>
        <w:t xml:space="preserve"> ni les effets personnels du patient ne donnent d’indication à ce sujet, il s’agira de procéder à l’examen de l’art. 378 CC, la « cascade », étant entendu que dès qu’une personne est « trouvée » sur la liste, capable de discernement et disposée à endosser le rôle de représentant de plein droit, les autres sont « hors course ». Ainsi, dans l’hypothèse où cet accidenté vit en concubinage, peu importe que le partenaire soit un homme ou une femme (art. 378 al. 1 </w:t>
      </w:r>
      <w:proofErr w:type="spellStart"/>
      <w:r w:rsidRPr="00705353">
        <w:rPr>
          <w:rFonts w:ascii="Arial" w:hAnsi="Arial" w:cs="Arial"/>
          <w:sz w:val="22"/>
          <w:szCs w:val="22"/>
        </w:rPr>
        <w:t>ch</w:t>
      </w:r>
      <w:proofErr w:type="spellEnd"/>
      <w:r w:rsidRPr="00705353">
        <w:rPr>
          <w:rFonts w:ascii="Arial" w:hAnsi="Arial" w:cs="Arial"/>
          <w:sz w:val="22"/>
          <w:szCs w:val="22"/>
        </w:rPr>
        <w:t xml:space="preserve"> 4 CC), les père et mère ne seront pas consultés par le corps médical pour les décisions à prendre ; il n’est toutefois pas interdit au représentant de les inclure dans le processus de réflexion quant aux décisions à prendre conformément à l’art. 378 al. 3 CC : « </w:t>
      </w:r>
      <w:r w:rsidRPr="00705353">
        <w:rPr>
          <w:rFonts w:ascii="Arial" w:hAnsi="Arial" w:cs="Arial"/>
          <w:i/>
          <w:iCs/>
          <w:sz w:val="22"/>
          <w:szCs w:val="22"/>
        </w:rPr>
        <w:t xml:space="preserve">en l’absence de directives anticipées donnant des instructions, le représentant décide conformément à la volonté présumée et aux intérêts de la personne incapable de discernement ». </w:t>
      </w:r>
    </w:p>
    <w:p w14:paraId="3D75BF4A" w14:textId="77777777" w:rsidR="00CA5028" w:rsidRPr="00705353" w:rsidRDefault="00CA5028" w:rsidP="00CA5028">
      <w:pPr>
        <w:shd w:val="clear" w:color="auto" w:fill="FFFFFF"/>
        <w:jc w:val="both"/>
        <w:rPr>
          <w:rFonts w:ascii="Arial" w:hAnsi="Arial" w:cs="Arial"/>
          <w:sz w:val="22"/>
          <w:szCs w:val="22"/>
        </w:rPr>
      </w:pPr>
    </w:p>
    <w:p w14:paraId="69383F0A"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Les aspects  de « assistance personnelle » et de « ménage commun » sont indispensables pour les </w:t>
      </w:r>
      <w:r w:rsidRPr="00705353">
        <w:rPr>
          <w:rFonts w:ascii="Arial" w:hAnsi="Arial" w:cs="Arial"/>
          <w:b/>
          <w:bCs/>
          <w:sz w:val="22"/>
          <w:szCs w:val="22"/>
        </w:rPr>
        <w:t>concubins</w:t>
      </w:r>
      <w:r w:rsidRPr="00705353">
        <w:rPr>
          <w:rFonts w:ascii="Arial" w:hAnsi="Arial" w:cs="Arial"/>
          <w:sz w:val="22"/>
          <w:szCs w:val="22"/>
        </w:rPr>
        <w:t xml:space="preserve"> ; ainsi, seuls </w:t>
      </w:r>
      <w:r w:rsidRPr="00705353">
        <w:rPr>
          <w:rFonts w:ascii="Arial" w:hAnsi="Arial" w:cs="Arial"/>
          <w:b/>
          <w:bCs/>
          <w:sz w:val="22"/>
          <w:szCs w:val="22"/>
        </w:rPr>
        <w:t>les couples mariés ou enregistrés</w:t>
      </w:r>
      <w:r w:rsidRPr="00705353">
        <w:rPr>
          <w:rFonts w:ascii="Arial" w:hAnsi="Arial" w:cs="Arial"/>
          <w:sz w:val="22"/>
          <w:szCs w:val="22"/>
        </w:rPr>
        <w:t xml:space="preserve"> au sens de la </w:t>
      </w:r>
      <w:proofErr w:type="spellStart"/>
      <w:r w:rsidRPr="00705353">
        <w:rPr>
          <w:rFonts w:ascii="Arial" w:hAnsi="Arial" w:cs="Arial"/>
          <w:sz w:val="22"/>
          <w:szCs w:val="22"/>
        </w:rPr>
        <w:t>LPart</w:t>
      </w:r>
      <w:proofErr w:type="spellEnd"/>
      <w:r w:rsidRPr="00705353">
        <w:rPr>
          <w:rFonts w:ascii="Arial" w:hAnsi="Arial" w:cs="Arial"/>
          <w:sz w:val="22"/>
          <w:szCs w:val="22"/>
        </w:rPr>
        <w:t xml:space="preserve"> peuvent continuer à se représenter lorsque le domicile n’est plus commun parce que l’un doit partir vivre en institution – en EMS. </w:t>
      </w:r>
    </w:p>
    <w:p w14:paraId="2DD75593" w14:textId="77777777" w:rsidR="00CA5028" w:rsidRPr="00705353" w:rsidRDefault="00CA5028" w:rsidP="00CA5028">
      <w:pPr>
        <w:shd w:val="clear" w:color="auto" w:fill="FFFFFF"/>
        <w:jc w:val="both"/>
        <w:rPr>
          <w:rFonts w:ascii="Arial" w:hAnsi="Arial" w:cs="Arial"/>
          <w:sz w:val="22"/>
          <w:szCs w:val="22"/>
        </w:rPr>
      </w:pPr>
    </w:p>
    <w:p w14:paraId="38FAB44E"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Il se pose évidemment la question de savoir si l’accidenté restera inconscient jusqu’au passage au bloc opératoire : s’il venait à « se réveiller », il s’agira d’apprécier si son état de santé est suffisamment stable pour lui permettre d’avoir la capacité de discernement ou si, par exemple, une médication lourde l’empêche de comprendre et de se déterminer au sujet de l’opération préconisée par le corps médical. </w:t>
      </w:r>
    </w:p>
    <w:p w14:paraId="04E3EE41" w14:textId="77777777" w:rsidR="00CA5028" w:rsidRPr="00705353" w:rsidRDefault="00CA5028" w:rsidP="00CA5028">
      <w:pPr>
        <w:shd w:val="clear" w:color="auto" w:fill="FFFFFF"/>
        <w:jc w:val="both"/>
        <w:rPr>
          <w:rFonts w:ascii="Arial" w:hAnsi="Arial" w:cs="Arial"/>
          <w:sz w:val="22"/>
          <w:szCs w:val="22"/>
        </w:rPr>
      </w:pPr>
    </w:p>
    <w:p w14:paraId="3737E5E4"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A noter que si la question de la représentation médicale est « facilement » tranchée, celle de la gestion courante de son patrimoine par exemple est largement plus complexe sauf s’il avait désigné un mandataire pour cause d’inaptitude selon l’art. 360 al. 1 CC : en effet, seul le conjoint marié ou enregistré est légalement désigné pour effectuer la gestion courante, il n’existe pas de « cascade » dans ce domaine « administratif et financier ». La teneur de l’art. 374 al. 1 CC est la suivante : </w:t>
      </w:r>
    </w:p>
    <w:p w14:paraId="767B3118" w14:textId="77777777" w:rsidR="00CA5028" w:rsidRPr="00705353" w:rsidRDefault="00CA5028" w:rsidP="00CA5028">
      <w:pPr>
        <w:shd w:val="clear" w:color="auto" w:fill="FFFFFF"/>
        <w:jc w:val="both"/>
        <w:rPr>
          <w:rFonts w:ascii="Arial" w:hAnsi="Arial" w:cs="Arial"/>
          <w:sz w:val="22"/>
          <w:szCs w:val="22"/>
        </w:rPr>
      </w:pPr>
    </w:p>
    <w:p w14:paraId="6F175AAE" w14:textId="77777777" w:rsidR="00CA5028" w:rsidRPr="00705353" w:rsidRDefault="00CA5028" w:rsidP="00CA5028">
      <w:pPr>
        <w:pStyle w:val="NormalWeb"/>
        <w:spacing w:before="0" w:beforeAutospacing="0" w:after="0" w:afterAutospacing="0"/>
        <w:jc w:val="both"/>
        <w:rPr>
          <w:rFonts w:ascii="Arial" w:hAnsi="Arial" w:cs="Arial"/>
          <w:sz w:val="22"/>
          <w:szCs w:val="22"/>
        </w:rPr>
      </w:pPr>
      <w:r w:rsidRPr="00705353">
        <w:rPr>
          <w:rFonts w:ascii="Arial" w:hAnsi="Arial" w:cs="Arial"/>
          <w:i/>
          <w:iCs/>
          <w:sz w:val="22"/>
          <w:szCs w:val="22"/>
        </w:rPr>
        <w:t xml:space="preserve">« Lorsqu’une personne frappée d’une incapacité de discernement n’a pas constitué de mandat pour cause d’inaptitude et que sa représentation n’est pas assurée par une curatelle, son conjoint ou son partenaire enregistré dispose du pouvoir légal de représentation s’il fait ménage commun avec elle ou s’il lui fournit une assistance personnelle régulière » : </w:t>
      </w:r>
    </w:p>
    <w:p w14:paraId="6DFEB3E1" w14:textId="77777777" w:rsidR="00CA5028" w:rsidRPr="00705353" w:rsidRDefault="00CA5028" w:rsidP="00CA5028">
      <w:pPr>
        <w:ind w:left="360"/>
        <w:jc w:val="both"/>
        <w:rPr>
          <w:rFonts w:ascii="Arial" w:hAnsi="Arial" w:cs="Arial"/>
          <w:sz w:val="22"/>
          <w:szCs w:val="22"/>
        </w:rPr>
      </w:pPr>
      <w:r w:rsidRPr="00705353">
        <w:rPr>
          <w:rFonts w:ascii="Arial" w:hAnsi="Arial" w:cs="Arial"/>
          <w:sz w:val="22"/>
          <w:szCs w:val="22"/>
        </w:rPr>
        <w:t xml:space="preserve">1. les actes juridiques habituellement nécessaires </w:t>
      </w:r>
    </w:p>
    <w:p w14:paraId="5F47A384" w14:textId="77777777" w:rsidR="00CA5028" w:rsidRPr="00705353" w:rsidRDefault="00CA5028" w:rsidP="00CA5028">
      <w:pPr>
        <w:ind w:left="360"/>
        <w:jc w:val="both"/>
        <w:rPr>
          <w:rFonts w:ascii="Arial" w:hAnsi="Arial" w:cs="Arial"/>
          <w:sz w:val="22"/>
          <w:szCs w:val="22"/>
        </w:rPr>
      </w:pPr>
      <w:r w:rsidRPr="00705353">
        <w:rPr>
          <w:rFonts w:ascii="Arial" w:hAnsi="Arial" w:cs="Arial"/>
          <w:sz w:val="22"/>
          <w:szCs w:val="22"/>
        </w:rPr>
        <w:t>2. l’administration ordinaire de ses revenus et de ses autres biens;</w:t>
      </w:r>
    </w:p>
    <w:p w14:paraId="5A58E4A1" w14:textId="77777777" w:rsidR="00CA5028" w:rsidRPr="00705353" w:rsidRDefault="00CA5028" w:rsidP="00CA5028">
      <w:pPr>
        <w:ind w:firstLine="360"/>
        <w:jc w:val="both"/>
        <w:rPr>
          <w:rFonts w:ascii="Arial" w:hAnsi="Arial" w:cs="Arial"/>
          <w:sz w:val="22"/>
          <w:szCs w:val="22"/>
        </w:rPr>
      </w:pPr>
      <w:r w:rsidRPr="00705353">
        <w:rPr>
          <w:rFonts w:ascii="Arial" w:hAnsi="Arial" w:cs="Arial"/>
          <w:sz w:val="22"/>
          <w:szCs w:val="22"/>
        </w:rPr>
        <w:t>3. le droit de prendre connaissance de sa correspondance.</w:t>
      </w:r>
    </w:p>
    <w:p w14:paraId="1F47E0FD" w14:textId="77777777" w:rsidR="00CA5028" w:rsidRPr="00705353" w:rsidRDefault="00CA5028" w:rsidP="00CA5028">
      <w:pPr>
        <w:pStyle w:val="NormalWeb"/>
        <w:spacing w:before="0" w:beforeAutospacing="0" w:after="0" w:afterAutospacing="0"/>
        <w:jc w:val="both"/>
        <w:rPr>
          <w:rFonts w:ascii="Arial" w:hAnsi="Arial" w:cs="Arial"/>
          <w:sz w:val="22"/>
          <w:szCs w:val="22"/>
          <w:vertAlign w:val="superscript"/>
        </w:rPr>
      </w:pPr>
    </w:p>
    <w:p w14:paraId="238EFDFD" w14:textId="77777777" w:rsidR="00CA5028" w:rsidRPr="00705353" w:rsidRDefault="00CA5028" w:rsidP="00CA5028">
      <w:pPr>
        <w:pStyle w:val="NormalWeb"/>
        <w:spacing w:before="0" w:beforeAutospacing="0" w:after="0" w:afterAutospacing="0"/>
        <w:jc w:val="both"/>
        <w:rPr>
          <w:rFonts w:ascii="Arial" w:hAnsi="Arial" w:cs="Arial"/>
          <w:sz w:val="22"/>
          <w:szCs w:val="22"/>
        </w:rPr>
      </w:pPr>
      <w:r w:rsidRPr="00705353">
        <w:rPr>
          <w:rFonts w:ascii="Arial" w:hAnsi="Arial" w:cs="Arial"/>
          <w:sz w:val="22"/>
          <w:szCs w:val="22"/>
        </w:rPr>
        <w:t>Pour l’administration extraordinaire des biens, le conjoint ou le partenaire enregistré doit requérir le consentement de l’autorité de protection de l’adulte.</w:t>
      </w:r>
    </w:p>
    <w:p w14:paraId="76C54218" w14:textId="77777777" w:rsidR="00CA5028" w:rsidRPr="00705353" w:rsidRDefault="00CA5028" w:rsidP="00CA5028">
      <w:pPr>
        <w:shd w:val="clear" w:color="auto" w:fill="FFFFFF"/>
        <w:jc w:val="both"/>
        <w:rPr>
          <w:rFonts w:ascii="Arial" w:hAnsi="Arial" w:cs="Arial"/>
          <w:sz w:val="22"/>
          <w:szCs w:val="22"/>
        </w:rPr>
      </w:pPr>
    </w:p>
    <w:p w14:paraId="088577E0"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Toutefois, pour les aspects de « soins psychiatriques », les directives anticipées ne sont que « prises en considération » par le médecin, ceci en vertu de l’art. 433 al. 3 CC : « </w:t>
      </w:r>
      <w:r w:rsidRPr="00705353">
        <w:rPr>
          <w:rFonts w:ascii="Arial" w:hAnsi="Arial" w:cs="Arial"/>
          <w:i/>
          <w:iCs/>
          <w:sz w:val="22"/>
          <w:szCs w:val="22"/>
        </w:rPr>
        <w:t xml:space="preserve">le plan de traitement est soumis au consentement de la personne concernée. Si elle est incapable de discernement, le médecin traitant prend en considération d’éventuelles directives anticipées ». </w:t>
      </w:r>
    </w:p>
    <w:p w14:paraId="0354883F" w14:textId="77777777" w:rsidR="00CA5028" w:rsidRPr="00705353" w:rsidRDefault="00CA5028" w:rsidP="00CA5028">
      <w:pPr>
        <w:shd w:val="clear" w:color="auto" w:fill="FFFFFF"/>
        <w:jc w:val="both"/>
        <w:rPr>
          <w:rFonts w:ascii="Arial" w:hAnsi="Arial" w:cs="Arial"/>
          <w:sz w:val="22"/>
          <w:szCs w:val="22"/>
        </w:rPr>
      </w:pPr>
    </w:p>
    <w:p w14:paraId="5CFB9162"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Ainsi, face à un même médicament visant le traitement d’affections psychiatriques, lorsqu’il est envisagé pour une personne résidant en EMS de son plein gré, il pourrait ne pas être possible de l’administrer parce que la personne s’y était opposée dans des directives anticipées antérieures ; en PAFA, ce même médicament pourrait être administré même si la personne s’y était opposée, dans l’hypothèse où de très bonnes raisons justifieraient de l’inclure dans le plan de traitement, établi avec la personne concernée et son éventuelle personne de confiance, telle que prévu à l’art. 432 CC. </w:t>
      </w:r>
    </w:p>
    <w:p w14:paraId="3A0534CC" w14:textId="77777777" w:rsidR="00CA5028" w:rsidRPr="00705353" w:rsidRDefault="00CA5028" w:rsidP="00CA5028">
      <w:pPr>
        <w:shd w:val="clear" w:color="auto" w:fill="FFFFFF"/>
        <w:jc w:val="both"/>
        <w:rPr>
          <w:rFonts w:ascii="Arial" w:hAnsi="Arial" w:cs="Arial"/>
          <w:sz w:val="22"/>
          <w:szCs w:val="22"/>
        </w:rPr>
      </w:pPr>
    </w:p>
    <w:p w14:paraId="74C73891"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Il va de soi que ici aussi, l’art. 435 al 2 CC prévoit que « </w:t>
      </w:r>
      <w:r w:rsidRPr="00705353">
        <w:rPr>
          <w:rFonts w:ascii="Arial" w:hAnsi="Arial" w:cs="Arial"/>
          <w:i/>
          <w:iCs/>
          <w:sz w:val="22"/>
          <w:szCs w:val="22"/>
        </w:rPr>
        <w:t>en cas d’urgence, les soins médicaux indispensables peuvent être administrés immédiatement s la protection de la personne concerné ou celle d’autrui l’exige.</w:t>
      </w:r>
    </w:p>
    <w:p w14:paraId="19D2174D" w14:textId="77777777" w:rsidR="00CA5028" w:rsidRPr="00705353" w:rsidRDefault="00CA5028" w:rsidP="00CA5028">
      <w:pPr>
        <w:shd w:val="clear" w:color="auto" w:fill="FFFFFF"/>
        <w:jc w:val="both"/>
        <w:rPr>
          <w:rFonts w:ascii="Arial" w:hAnsi="Arial" w:cs="Arial"/>
          <w:sz w:val="22"/>
          <w:szCs w:val="22"/>
        </w:rPr>
      </w:pPr>
    </w:p>
    <w:p w14:paraId="2BD4ABEE"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La solution du législateur prévoit une « consigne générale » pour les traitements psychiatriques comme mesure de placement à des fins d’assistance (« </w:t>
      </w:r>
      <w:r w:rsidRPr="00705353">
        <w:rPr>
          <w:rFonts w:ascii="Arial" w:hAnsi="Arial" w:cs="Arial"/>
          <w:i/>
          <w:iCs/>
          <w:sz w:val="22"/>
          <w:szCs w:val="22"/>
        </w:rPr>
        <w:t xml:space="preserve">lorsque l’institution sait comment la personne entend être traitée, elle </w:t>
      </w:r>
      <w:r w:rsidRPr="00705353">
        <w:rPr>
          <w:rFonts w:ascii="Arial" w:hAnsi="Arial" w:cs="Arial"/>
          <w:b/>
          <w:bCs/>
          <w:i/>
          <w:iCs/>
          <w:sz w:val="22"/>
          <w:szCs w:val="22"/>
        </w:rPr>
        <w:t>prend en considération</w:t>
      </w:r>
      <w:r w:rsidRPr="00705353">
        <w:rPr>
          <w:rFonts w:ascii="Arial" w:hAnsi="Arial" w:cs="Arial"/>
          <w:i/>
          <w:iCs/>
          <w:sz w:val="22"/>
          <w:szCs w:val="22"/>
        </w:rPr>
        <w:t xml:space="preserve"> sa volonté »</w:t>
      </w:r>
      <w:r w:rsidRPr="00705353">
        <w:rPr>
          <w:rFonts w:ascii="Arial" w:hAnsi="Arial" w:cs="Arial"/>
          <w:sz w:val="22"/>
          <w:szCs w:val="22"/>
        </w:rPr>
        <w:t xml:space="preserve">, art. 435 al. 2 CC) : l’institution peut le savoir si la personne a déjà séjourné dans cet établissement et que la question de la récidive a été examinée lors de l’entretien de sortie (art. 436 CC). </w:t>
      </w:r>
    </w:p>
    <w:p w14:paraId="18D4A3D4"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 </w:t>
      </w:r>
    </w:p>
    <w:p w14:paraId="309DB1BE"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Ainsi, on constate que les directives anticipées s’effacent pour ce qui est du traitement psychiatrique lors d’un PAFA, qu’elles perdurent pour des aspects purement somatiques si la personne a perdu la capacité de discernement et que les médecins s’orient et prennent en considération des éléments dont ils disposent sur la volonté de la personne mais n’ont pas d’obligation de la respecter lorsqu’ils estiment avoir de bonnes raisons de s’en écarter. Il est judicieux ici également, par analogie à l’art. 372 al. 3 CC, de consigner dans le dossier les motifs qui ont conduit à s’écarter des indications disponibles. </w:t>
      </w:r>
    </w:p>
    <w:p w14:paraId="2CB88291" w14:textId="77777777" w:rsidR="00CA5028" w:rsidRPr="00705353" w:rsidRDefault="00CA5028" w:rsidP="00CA5028">
      <w:pPr>
        <w:shd w:val="clear" w:color="auto" w:fill="FFFFFF"/>
        <w:jc w:val="both"/>
        <w:rPr>
          <w:rFonts w:ascii="Arial" w:hAnsi="Arial" w:cs="Arial"/>
          <w:sz w:val="22"/>
          <w:szCs w:val="22"/>
        </w:rPr>
      </w:pPr>
    </w:p>
    <w:p w14:paraId="3D75C586" w14:textId="77777777" w:rsidR="00CA5028" w:rsidRPr="00705353" w:rsidRDefault="00CA5028" w:rsidP="00CA5028">
      <w:pPr>
        <w:shd w:val="clear" w:color="auto" w:fill="FFFFFF"/>
        <w:jc w:val="both"/>
        <w:rPr>
          <w:rFonts w:ascii="Arial" w:hAnsi="Arial" w:cs="Arial"/>
          <w:sz w:val="22"/>
          <w:szCs w:val="22"/>
        </w:rPr>
      </w:pPr>
      <w:r w:rsidRPr="00705353">
        <w:rPr>
          <w:rFonts w:ascii="Arial" w:hAnsi="Arial" w:cs="Arial"/>
          <w:sz w:val="22"/>
          <w:szCs w:val="22"/>
        </w:rPr>
        <w:t xml:space="preserve">La question d’un traitement administré sans consentement en matière psychiatrique est réglée par l’art. 434 CC, possible lorsque </w:t>
      </w:r>
    </w:p>
    <w:p w14:paraId="6A277F24" w14:textId="77777777" w:rsidR="00CA5028" w:rsidRPr="00705353" w:rsidRDefault="00CA5028" w:rsidP="00FB5598">
      <w:pPr>
        <w:pStyle w:val="Paragraphedeliste"/>
        <w:numPr>
          <w:ilvl w:val="0"/>
          <w:numId w:val="1"/>
        </w:numPr>
        <w:shd w:val="clear" w:color="auto" w:fill="FFFFFF"/>
        <w:rPr>
          <w:rFonts w:cs="Arial"/>
          <w:sz w:val="22"/>
        </w:rPr>
      </w:pPr>
      <w:r w:rsidRPr="00705353">
        <w:rPr>
          <w:rFonts w:cs="Arial"/>
          <w:sz w:val="22"/>
        </w:rPr>
        <w:t xml:space="preserve">le défaut de traitement met gravement en péril la santé, ET </w:t>
      </w:r>
    </w:p>
    <w:p w14:paraId="084583A3" w14:textId="77777777" w:rsidR="00CA5028" w:rsidRPr="00705353" w:rsidRDefault="00CA5028" w:rsidP="00FB5598">
      <w:pPr>
        <w:pStyle w:val="Paragraphedeliste"/>
        <w:numPr>
          <w:ilvl w:val="0"/>
          <w:numId w:val="1"/>
        </w:numPr>
        <w:shd w:val="clear" w:color="auto" w:fill="FFFFFF"/>
        <w:rPr>
          <w:rFonts w:cs="Arial"/>
          <w:sz w:val="22"/>
        </w:rPr>
      </w:pPr>
      <w:r w:rsidRPr="00705353">
        <w:rPr>
          <w:rFonts w:cs="Arial"/>
          <w:sz w:val="22"/>
        </w:rPr>
        <w:t xml:space="preserve">la personne concernée n’a pas la capacité de discernement pour comprendre les enjeux ET </w:t>
      </w:r>
    </w:p>
    <w:p w14:paraId="6DD7CBD8" w14:textId="77777777" w:rsidR="00CA5028" w:rsidRPr="00705353" w:rsidRDefault="00CA5028" w:rsidP="00FB5598">
      <w:pPr>
        <w:pStyle w:val="Paragraphedeliste"/>
        <w:numPr>
          <w:ilvl w:val="0"/>
          <w:numId w:val="1"/>
        </w:numPr>
        <w:shd w:val="clear" w:color="auto" w:fill="FFFFFF"/>
        <w:rPr>
          <w:rFonts w:cs="Arial"/>
          <w:sz w:val="22"/>
        </w:rPr>
      </w:pPr>
      <w:r w:rsidRPr="00705353">
        <w:rPr>
          <w:rFonts w:cs="Arial"/>
          <w:sz w:val="22"/>
        </w:rPr>
        <w:t xml:space="preserve">il n’existe pas de mesures appropriées moins rigoureuses. </w:t>
      </w:r>
    </w:p>
    <w:p w14:paraId="7B53A7F9" w14:textId="5A0E96E2" w:rsidR="00703BCD" w:rsidRPr="00084CA6" w:rsidRDefault="00703BCD" w:rsidP="00084CA6">
      <w:pPr>
        <w:jc w:val="both"/>
        <w:rPr>
          <w:rFonts w:ascii="Arial" w:hAnsi="Arial" w:cs="Arial"/>
          <w:b/>
          <w:bCs/>
          <w:sz w:val="22"/>
          <w:szCs w:val="22"/>
        </w:rPr>
      </w:pPr>
    </w:p>
    <w:sectPr w:rsidR="00703BCD" w:rsidRPr="00084CA6" w:rsidSect="003C5DC7">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A6C44" w14:textId="77777777" w:rsidR="00FB5598" w:rsidRDefault="00FB5598" w:rsidP="0012550F">
      <w:r>
        <w:separator/>
      </w:r>
    </w:p>
  </w:endnote>
  <w:endnote w:type="continuationSeparator" w:id="0">
    <w:p w14:paraId="2529369B" w14:textId="77777777" w:rsidR="00FB5598" w:rsidRDefault="00FB5598" w:rsidP="0012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154950"/>
      <w:docPartObj>
        <w:docPartGallery w:val="Page Numbers (Bottom of Page)"/>
        <w:docPartUnique/>
      </w:docPartObj>
    </w:sdtPr>
    <w:sdtEndPr/>
    <w:sdtContent>
      <w:p w14:paraId="40BDE879" w14:textId="306AD6C6" w:rsidR="008775EB" w:rsidRDefault="008775EB">
        <w:pPr>
          <w:pStyle w:val="Pieddepage"/>
          <w:jc w:val="right"/>
        </w:pPr>
        <w:r>
          <w:fldChar w:fldCharType="begin"/>
        </w:r>
        <w:r>
          <w:instrText>PAGE   \* MERGEFORMAT</w:instrText>
        </w:r>
        <w:r>
          <w:fldChar w:fldCharType="separate"/>
        </w:r>
        <w:r>
          <w:t>2</w:t>
        </w:r>
        <w:r>
          <w:fldChar w:fldCharType="end"/>
        </w:r>
      </w:p>
    </w:sdtContent>
  </w:sdt>
  <w:p w14:paraId="342ADBBD" w14:textId="77777777" w:rsidR="008775EB" w:rsidRDefault="008775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7E25F" w14:textId="77777777" w:rsidR="00FB5598" w:rsidRDefault="00FB5598" w:rsidP="0012550F">
      <w:r>
        <w:separator/>
      </w:r>
    </w:p>
  </w:footnote>
  <w:footnote w:type="continuationSeparator" w:id="0">
    <w:p w14:paraId="023D699C" w14:textId="77777777" w:rsidR="00FB5598" w:rsidRDefault="00FB5598" w:rsidP="0012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F8C7" w14:textId="3361A02C" w:rsidR="008775EB" w:rsidRPr="00506BB0" w:rsidRDefault="00506BB0" w:rsidP="00506BB0">
    <w:pPr>
      <w:pStyle w:val="En-tte"/>
      <w:ind w:left="5664"/>
      <w:jc w:val="right"/>
      <w:rPr>
        <w:szCs w:val="20"/>
        <w:lang w:val="fr-CH"/>
      </w:rPr>
    </w:pPr>
    <w:r w:rsidRPr="00506BB0">
      <w:rPr>
        <w:szCs w:val="20"/>
        <w:lang w:val="fr-CH"/>
      </w:rPr>
      <w:t xml:space="preserve">CAS droit des patients et santé public </w:t>
    </w:r>
  </w:p>
  <w:p w14:paraId="434A99B1" w14:textId="70BC116F" w:rsidR="00506BB0" w:rsidRPr="00506BB0" w:rsidRDefault="00506BB0" w:rsidP="00506BB0">
    <w:pPr>
      <w:pStyle w:val="En-tte"/>
      <w:ind w:left="5664"/>
      <w:jc w:val="right"/>
      <w:rPr>
        <w:szCs w:val="20"/>
        <w:lang w:val="fr-CH"/>
      </w:rPr>
    </w:pPr>
    <w:r w:rsidRPr="00506BB0">
      <w:rPr>
        <w:szCs w:val="20"/>
        <w:lang w:val="fr-CH"/>
      </w:rPr>
      <w:t xml:space="preserve">Oral no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C3DDC"/>
    <w:multiLevelType w:val="hybridMultilevel"/>
    <w:tmpl w:val="66347854"/>
    <w:lvl w:ilvl="0" w:tplc="8578C85E">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8C691C"/>
    <w:multiLevelType w:val="hybridMultilevel"/>
    <w:tmpl w:val="5180FBE8"/>
    <w:lvl w:ilvl="0" w:tplc="D43CB63A">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8C"/>
    <w:rsid w:val="0001048A"/>
    <w:rsid w:val="00056E43"/>
    <w:rsid w:val="00084CA6"/>
    <w:rsid w:val="000A3ADF"/>
    <w:rsid w:val="000C70C5"/>
    <w:rsid w:val="000C7FB6"/>
    <w:rsid w:val="000D069C"/>
    <w:rsid w:val="000F347B"/>
    <w:rsid w:val="00103F30"/>
    <w:rsid w:val="0010472D"/>
    <w:rsid w:val="00113F51"/>
    <w:rsid w:val="0012550F"/>
    <w:rsid w:val="00130EEC"/>
    <w:rsid w:val="001432FF"/>
    <w:rsid w:val="00156D01"/>
    <w:rsid w:val="00176D6D"/>
    <w:rsid w:val="00187A99"/>
    <w:rsid w:val="0019447D"/>
    <w:rsid w:val="001C30FC"/>
    <w:rsid w:val="0025518A"/>
    <w:rsid w:val="00296B52"/>
    <w:rsid w:val="002D08F3"/>
    <w:rsid w:val="002D238C"/>
    <w:rsid w:val="002E20FF"/>
    <w:rsid w:val="003530C7"/>
    <w:rsid w:val="00361700"/>
    <w:rsid w:val="00365857"/>
    <w:rsid w:val="003965B7"/>
    <w:rsid w:val="003B66AE"/>
    <w:rsid w:val="003C40E5"/>
    <w:rsid w:val="003C5DC7"/>
    <w:rsid w:val="00416B9D"/>
    <w:rsid w:val="00417093"/>
    <w:rsid w:val="00420794"/>
    <w:rsid w:val="00421D02"/>
    <w:rsid w:val="00435E1D"/>
    <w:rsid w:val="0045284D"/>
    <w:rsid w:val="00465BCB"/>
    <w:rsid w:val="0047066A"/>
    <w:rsid w:val="004820BC"/>
    <w:rsid w:val="004A1F67"/>
    <w:rsid w:val="004B2EB7"/>
    <w:rsid w:val="004C47F7"/>
    <w:rsid w:val="00506BB0"/>
    <w:rsid w:val="0051107E"/>
    <w:rsid w:val="00523F74"/>
    <w:rsid w:val="00537C7A"/>
    <w:rsid w:val="00540590"/>
    <w:rsid w:val="00543737"/>
    <w:rsid w:val="00545BC6"/>
    <w:rsid w:val="005A6D6A"/>
    <w:rsid w:val="005B1110"/>
    <w:rsid w:val="005B477D"/>
    <w:rsid w:val="005C66B9"/>
    <w:rsid w:val="006405DD"/>
    <w:rsid w:val="00665C51"/>
    <w:rsid w:val="00673D8F"/>
    <w:rsid w:val="006B3D80"/>
    <w:rsid w:val="006B77FD"/>
    <w:rsid w:val="006E35B0"/>
    <w:rsid w:val="006F2B42"/>
    <w:rsid w:val="00703BCD"/>
    <w:rsid w:val="00706C2C"/>
    <w:rsid w:val="0072425F"/>
    <w:rsid w:val="0073454E"/>
    <w:rsid w:val="00741C4C"/>
    <w:rsid w:val="00783BF4"/>
    <w:rsid w:val="007A1303"/>
    <w:rsid w:val="007B3EC9"/>
    <w:rsid w:val="007E0489"/>
    <w:rsid w:val="007F5D27"/>
    <w:rsid w:val="008775EB"/>
    <w:rsid w:val="008F2D5D"/>
    <w:rsid w:val="00904BA3"/>
    <w:rsid w:val="009608BD"/>
    <w:rsid w:val="009A4744"/>
    <w:rsid w:val="009E70D3"/>
    <w:rsid w:val="00A153B6"/>
    <w:rsid w:val="00A15F1C"/>
    <w:rsid w:val="00A16F26"/>
    <w:rsid w:val="00A23682"/>
    <w:rsid w:val="00AA738B"/>
    <w:rsid w:val="00B06073"/>
    <w:rsid w:val="00B201FD"/>
    <w:rsid w:val="00B37551"/>
    <w:rsid w:val="00B40180"/>
    <w:rsid w:val="00B75B90"/>
    <w:rsid w:val="00BE2AC7"/>
    <w:rsid w:val="00C25C98"/>
    <w:rsid w:val="00C96626"/>
    <w:rsid w:val="00CA5028"/>
    <w:rsid w:val="00CB0601"/>
    <w:rsid w:val="00CF1992"/>
    <w:rsid w:val="00CF44D4"/>
    <w:rsid w:val="00D05C63"/>
    <w:rsid w:val="00D118DF"/>
    <w:rsid w:val="00D141E4"/>
    <w:rsid w:val="00D55824"/>
    <w:rsid w:val="00D82DD3"/>
    <w:rsid w:val="00DA77E7"/>
    <w:rsid w:val="00DC7F56"/>
    <w:rsid w:val="00DD1A5D"/>
    <w:rsid w:val="00DF0E17"/>
    <w:rsid w:val="00DF221D"/>
    <w:rsid w:val="00E00C3C"/>
    <w:rsid w:val="00E01138"/>
    <w:rsid w:val="00E10422"/>
    <w:rsid w:val="00E34623"/>
    <w:rsid w:val="00E45730"/>
    <w:rsid w:val="00E55FE3"/>
    <w:rsid w:val="00E578F5"/>
    <w:rsid w:val="00E86F72"/>
    <w:rsid w:val="00E968FE"/>
    <w:rsid w:val="00EB5C74"/>
    <w:rsid w:val="00EC1AC4"/>
    <w:rsid w:val="00EE1877"/>
    <w:rsid w:val="00EE1E38"/>
    <w:rsid w:val="00EF437C"/>
    <w:rsid w:val="00F0113E"/>
    <w:rsid w:val="00F765C0"/>
    <w:rsid w:val="00FA6E0C"/>
    <w:rsid w:val="00FB5598"/>
    <w:rsid w:val="00FD4C0B"/>
    <w:rsid w:val="00FE3ED5"/>
    <w:rsid w:val="00FE57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3FC8"/>
  <w15:chartTrackingRefBased/>
  <w15:docId w15:val="{5FA71388-3FA1-4782-A0B4-5CD17E8F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43"/>
    <w:pPr>
      <w:jc w:val="left"/>
    </w:pPr>
    <w:rPr>
      <w:rFonts w:ascii="Times New Roman" w:eastAsia="Times New Roman" w:hAnsi="Times New Roman" w:cs="Times New Roman"/>
      <w:sz w:val="24"/>
      <w:szCs w:val="24"/>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550F"/>
    <w:pPr>
      <w:tabs>
        <w:tab w:val="center" w:pos="4536"/>
        <w:tab w:val="right" w:pos="9072"/>
      </w:tabs>
      <w:jc w:val="both"/>
    </w:pPr>
    <w:rPr>
      <w:rFonts w:ascii="Arial" w:eastAsiaTheme="minorHAnsi" w:hAnsi="Arial" w:cstheme="minorBidi"/>
      <w:sz w:val="20"/>
      <w:szCs w:val="22"/>
      <w:lang w:val="fr-FR" w:eastAsia="en-US"/>
    </w:rPr>
  </w:style>
  <w:style w:type="character" w:customStyle="1" w:styleId="En-tteCar">
    <w:name w:val="En-tête Car"/>
    <w:basedOn w:val="Policepardfaut"/>
    <w:link w:val="En-tte"/>
    <w:uiPriority w:val="99"/>
    <w:rsid w:val="0012550F"/>
  </w:style>
  <w:style w:type="paragraph" w:styleId="Pieddepage">
    <w:name w:val="footer"/>
    <w:basedOn w:val="Normal"/>
    <w:link w:val="PieddepageCar"/>
    <w:uiPriority w:val="99"/>
    <w:unhideWhenUsed/>
    <w:rsid w:val="0012550F"/>
    <w:pPr>
      <w:tabs>
        <w:tab w:val="center" w:pos="4536"/>
        <w:tab w:val="right" w:pos="9072"/>
      </w:tabs>
      <w:jc w:val="both"/>
    </w:pPr>
    <w:rPr>
      <w:rFonts w:ascii="Arial" w:eastAsiaTheme="minorHAnsi" w:hAnsi="Arial" w:cstheme="minorBidi"/>
      <w:sz w:val="20"/>
      <w:szCs w:val="22"/>
      <w:lang w:val="fr-FR" w:eastAsia="en-US"/>
    </w:rPr>
  </w:style>
  <w:style w:type="character" w:customStyle="1" w:styleId="PieddepageCar">
    <w:name w:val="Pied de page Car"/>
    <w:basedOn w:val="Policepardfaut"/>
    <w:link w:val="Pieddepage"/>
    <w:uiPriority w:val="99"/>
    <w:rsid w:val="0012550F"/>
  </w:style>
  <w:style w:type="paragraph" w:styleId="Paragraphedeliste">
    <w:name w:val="List Paragraph"/>
    <w:basedOn w:val="Normal"/>
    <w:uiPriority w:val="34"/>
    <w:qFormat/>
    <w:rsid w:val="005B1110"/>
    <w:pPr>
      <w:ind w:left="720"/>
      <w:contextualSpacing/>
      <w:jc w:val="both"/>
    </w:pPr>
    <w:rPr>
      <w:rFonts w:ascii="Arial" w:eastAsiaTheme="minorHAnsi" w:hAnsi="Arial" w:cstheme="minorBidi"/>
      <w:sz w:val="20"/>
      <w:szCs w:val="22"/>
      <w:lang w:val="fr-FR" w:eastAsia="en-US"/>
    </w:rPr>
  </w:style>
  <w:style w:type="paragraph" w:styleId="Notedebasdepage">
    <w:name w:val="footnote text"/>
    <w:basedOn w:val="Normal"/>
    <w:link w:val="NotedebasdepageCar"/>
    <w:uiPriority w:val="99"/>
    <w:semiHidden/>
    <w:unhideWhenUsed/>
    <w:rsid w:val="00E45730"/>
    <w:pPr>
      <w:jc w:val="both"/>
    </w:pPr>
    <w:rPr>
      <w:rFonts w:ascii="Arial" w:eastAsiaTheme="minorHAnsi" w:hAnsi="Arial" w:cstheme="minorBidi"/>
      <w:sz w:val="20"/>
      <w:szCs w:val="20"/>
      <w:lang w:val="fr-FR" w:eastAsia="en-US"/>
    </w:rPr>
  </w:style>
  <w:style w:type="character" w:customStyle="1" w:styleId="NotedebasdepageCar">
    <w:name w:val="Note de bas de page Car"/>
    <w:basedOn w:val="Policepardfaut"/>
    <w:link w:val="Notedebasdepage"/>
    <w:uiPriority w:val="99"/>
    <w:semiHidden/>
    <w:rsid w:val="00E45730"/>
    <w:rPr>
      <w:sz w:val="20"/>
      <w:szCs w:val="20"/>
    </w:rPr>
  </w:style>
  <w:style w:type="character" w:styleId="Appelnotedebasdep">
    <w:name w:val="footnote reference"/>
    <w:basedOn w:val="Policepardfaut"/>
    <w:uiPriority w:val="99"/>
    <w:semiHidden/>
    <w:unhideWhenUsed/>
    <w:rsid w:val="00E45730"/>
    <w:rPr>
      <w:vertAlign w:val="superscript"/>
    </w:rPr>
  </w:style>
  <w:style w:type="character" w:styleId="Lienhypertexte">
    <w:name w:val="Hyperlink"/>
    <w:basedOn w:val="Policepardfaut"/>
    <w:uiPriority w:val="99"/>
    <w:unhideWhenUsed/>
    <w:rsid w:val="0025518A"/>
    <w:rPr>
      <w:color w:val="0563C1" w:themeColor="hyperlink"/>
      <w:u w:val="single"/>
    </w:rPr>
  </w:style>
  <w:style w:type="character" w:styleId="Mentionnonrsolue">
    <w:name w:val="Unresolved Mention"/>
    <w:basedOn w:val="Policepardfaut"/>
    <w:uiPriority w:val="99"/>
    <w:semiHidden/>
    <w:unhideWhenUsed/>
    <w:rsid w:val="0025518A"/>
    <w:rPr>
      <w:color w:val="605E5C"/>
      <w:shd w:val="clear" w:color="auto" w:fill="E1DFDD"/>
    </w:rPr>
  </w:style>
  <w:style w:type="paragraph" w:styleId="NormalWeb">
    <w:name w:val="Normal (Web)"/>
    <w:basedOn w:val="Normal"/>
    <w:uiPriority w:val="99"/>
    <w:unhideWhenUsed/>
    <w:rsid w:val="00506BB0"/>
    <w:pPr>
      <w:spacing w:before="100" w:beforeAutospacing="1" w:after="100" w:afterAutospacing="1"/>
    </w:pPr>
  </w:style>
  <w:style w:type="character" w:customStyle="1" w:styleId="texte">
    <w:name w:val="texte"/>
    <w:basedOn w:val="Policepardfaut"/>
    <w:rsid w:val="0070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265371">
      <w:bodyDiv w:val="1"/>
      <w:marLeft w:val="0"/>
      <w:marRight w:val="0"/>
      <w:marTop w:val="0"/>
      <w:marBottom w:val="0"/>
      <w:divBdr>
        <w:top w:val="none" w:sz="0" w:space="0" w:color="auto"/>
        <w:left w:val="none" w:sz="0" w:space="0" w:color="auto"/>
        <w:bottom w:val="none" w:sz="0" w:space="0" w:color="auto"/>
        <w:right w:val="none" w:sz="0" w:space="0" w:color="auto"/>
      </w:divBdr>
    </w:div>
    <w:div w:id="743575070">
      <w:bodyDiv w:val="1"/>
      <w:marLeft w:val="0"/>
      <w:marRight w:val="0"/>
      <w:marTop w:val="0"/>
      <w:marBottom w:val="0"/>
      <w:divBdr>
        <w:top w:val="none" w:sz="0" w:space="0" w:color="auto"/>
        <w:left w:val="none" w:sz="0" w:space="0" w:color="auto"/>
        <w:bottom w:val="none" w:sz="0" w:space="0" w:color="auto"/>
        <w:right w:val="none" w:sz="0" w:space="0" w:color="auto"/>
      </w:divBdr>
    </w:div>
    <w:div w:id="1030373279">
      <w:bodyDiv w:val="1"/>
      <w:marLeft w:val="0"/>
      <w:marRight w:val="0"/>
      <w:marTop w:val="0"/>
      <w:marBottom w:val="0"/>
      <w:divBdr>
        <w:top w:val="none" w:sz="0" w:space="0" w:color="auto"/>
        <w:left w:val="none" w:sz="0" w:space="0" w:color="auto"/>
        <w:bottom w:val="none" w:sz="0" w:space="0" w:color="auto"/>
        <w:right w:val="none" w:sz="0" w:space="0" w:color="auto"/>
      </w:divBdr>
    </w:div>
    <w:div w:id="1145971340">
      <w:bodyDiv w:val="1"/>
      <w:marLeft w:val="0"/>
      <w:marRight w:val="0"/>
      <w:marTop w:val="0"/>
      <w:marBottom w:val="0"/>
      <w:divBdr>
        <w:top w:val="none" w:sz="0" w:space="0" w:color="auto"/>
        <w:left w:val="none" w:sz="0" w:space="0" w:color="auto"/>
        <w:bottom w:val="none" w:sz="0" w:space="0" w:color="auto"/>
        <w:right w:val="none" w:sz="0" w:space="0" w:color="auto"/>
      </w:divBdr>
    </w:div>
    <w:div w:id="1585913170">
      <w:bodyDiv w:val="1"/>
      <w:marLeft w:val="0"/>
      <w:marRight w:val="0"/>
      <w:marTop w:val="0"/>
      <w:marBottom w:val="0"/>
      <w:divBdr>
        <w:top w:val="none" w:sz="0" w:space="0" w:color="auto"/>
        <w:left w:val="none" w:sz="0" w:space="0" w:color="auto"/>
        <w:bottom w:val="none" w:sz="0" w:space="0" w:color="auto"/>
        <w:right w:val="none" w:sz="0" w:space="0" w:color="auto"/>
      </w:divBdr>
    </w:div>
    <w:div w:id="1997487014">
      <w:bodyDiv w:val="1"/>
      <w:marLeft w:val="0"/>
      <w:marRight w:val="0"/>
      <w:marTop w:val="0"/>
      <w:marBottom w:val="0"/>
      <w:divBdr>
        <w:top w:val="none" w:sz="0" w:space="0" w:color="auto"/>
        <w:left w:val="none" w:sz="0" w:space="0" w:color="auto"/>
        <w:bottom w:val="none" w:sz="0" w:space="0" w:color="auto"/>
        <w:right w:val="none" w:sz="0" w:space="0" w:color="auto"/>
      </w:divBdr>
      <w:divsChild>
        <w:div w:id="1654869591">
          <w:marLeft w:val="0"/>
          <w:marRight w:val="0"/>
          <w:marTop w:val="0"/>
          <w:marBottom w:val="0"/>
          <w:divBdr>
            <w:top w:val="none" w:sz="0" w:space="0" w:color="auto"/>
            <w:left w:val="none" w:sz="0" w:space="0" w:color="auto"/>
            <w:bottom w:val="none" w:sz="0" w:space="0" w:color="auto"/>
            <w:right w:val="none" w:sz="0" w:space="0" w:color="auto"/>
          </w:divBdr>
        </w:div>
      </w:divsChild>
    </w:div>
    <w:div w:id="2047946579">
      <w:bodyDiv w:val="1"/>
      <w:marLeft w:val="0"/>
      <w:marRight w:val="0"/>
      <w:marTop w:val="0"/>
      <w:marBottom w:val="0"/>
      <w:divBdr>
        <w:top w:val="none" w:sz="0" w:space="0" w:color="auto"/>
        <w:left w:val="none" w:sz="0" w:space="0" w:color="auto"/>
        <w:bottom w:val="none" w:sz="0" w:space="0" w:color="auto"/>
        <w:right w:val="none" w:sz="0" w:space="0" w:color="auto"/>
      </w:divBdr>
      <w:divsChild>
        <w:div w:id="1976566967">
          <w:marLeft w:val="0"/>
          <w:marRight w:val="0"/>
          <w:marTop w:val="0"/>
          <w:marBottom w:val="0"/>
          <w:divBdr>
            <w:top w:val="none" w:sz="0" w:space="0" w:color="auto"/>
            <w:left w:val="none" w:sz="0" w:space="0" w:color="auto"/>
            <w:bottom w:val="none" w:sz="0" w:space="0" w:color="auto"/>
            <w:right w:val="none" w:sz="0" w:space="0" w:color="auto"/>
          </w:divBdr>
          <w:divsChild>
            <w:div w:id="618991757">
              <w:marLeft w:val="0"/>
              <w:marRight w:val="0"/>
              <w:marTop w:val="0"/>
              <w:marBottom w:val="0"/>
              <w:divBdr>
                <w:top w:val="none" w:sz="0" w:space="0" w:color="auto"/>
                <w:left w:val="none" w:sz="0" w:space="0" w:color="auto"/>
                <w:bottom w:val="none" w:sz="0" w:space="0" w:color="auto"/>
                <w:right w:val="none" w:sz="0" w:space="0" w:color="auto"/>
              </w:divBdr>
              <w:divsChild>
                <w:div w:id="1402830074">
                  <w:marLeft w:val="0"/>
                  <w:marRight w:val="0"/>
                  <w:marTop w:val="0"/>
                  <w:marBottom w:val="0"/>
                  <w:divBdr>
                    <w:top w:val="none" w:sz="0" w:space="0" w:color="auto"/>
                    <w:left w:val="none" w:sz="0" w:space="0" w:color="auto"/>
                    <w:bottom w:val="none" w:sz="0" w:space="0" w:color="auto"/>
                    <w:right w:val="none" w:sz="0" w:space="0" w:color="auto"/>
                  </w:divBdr>
                  <w:divsChild>
                    <w:div w:id="9314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Droits des patient·e·s</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75DA2738-E9FB-B347-9F08-089D3DFEFDDD}">
  <ds:schemaRefs>
    <ds:schemaRef ds:uri="http://schemas.openxmlformats.org/officeDocument/2006/bibliography"/>
  </ds:schemaRefs>
</ds:datastoreItem>
</file>

<file path=customXml/itemProps2.xml><?xml version="1.0" encoding="utf-8"?>
<ds:datastoreItem xmlns:ds="http://schemas.openxmlformats.org/officeDocument/2006/customXml" ds:itemID="{0C45D15F-09F6-4DC3-BECC-1376227D476E}"/>
</file>

<file path=customXml/itemProps3.xml><?xml version="1.0" encoding="utf-8"?>
<ds:datastoreItem xmlns:ds="http://schemas.openxmlformats.org/officeDocument/2006/customXml" ds:itemID="{E0DBCA36-852E-4F06-8921-0EA075B63D1E}"/>
</file>

<file path=customXml/itemProps4.xml><?xml version="1.0" encoding="utf-8"?>
<ds:datastoreItem xmlns:ds="http://schemas.openxmlformats.org/officeDocument/2006/customXml" ds:itemID="{43242E4C-FD6D-4D84-8875-C9ED211181EA}"/>
</file>

<file path=docProps/app.xml><?xml version="1.0" encoding="utf-8"?>
<Properties xmlns="http://schemas.openxmlformats.org/officeDocument/2006/extended-properties" xmlns:vt="http://schemas.openxmlformats.org/officeDocument/2006/docPropsVTypes">
  <Template>Normal.dotm</Template>
  <TotalTime>65</TotalTime>
  <Pages>3</Pages>
  <Words>1470</Words>
  <Characters>8085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Haunreiter Katja</cp:lastModifiedBy>
  <cp:revision>22</cp:revision>
  <cp:lastPrinted>2021-01-07T11:12:00Z</cp:lastPrinted>
  <dcterms:created xsi:type="dcterms:W3CDTF">2020-12-30T22:19:00Z</dcterms:created>
  <dcterms:modified xsi:type="dcterms:W3CDTF">2021-01-07T11:51:00Z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