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47FBE7" w14:textId="77777777" w:rsidR="004A694B" w:rsidRPr="00823693" w:rsidRDefault="004A694B" w:rsidP="00B06178">
      <w:pPr>
        <w:spacing w:line="240" w:lineRule="auto"/>
        <w:jc w:val="both"/>
        <w:rPr>
          <w:rFonts w:ascii="Arial" w:hAnsi="Arial" w:cs="Arial"/>
          <w:lang w:val="fr-CH"/>
        </w:rPr>
      </w:pPr>
      <w:r w:rsidRPr="00823693">
        <w:rPr>
          <w:rFonts w:ascii="Arial" w:hAnsi="Arial" w:cs="Arial"/>
          <w:b/>
          <w:bCs/>
          <w:caps/>
          <w:lang w:val="fr-CH"/>
        </w:rPr>
        <w:t>Addictions</w:t>
      </w:r>
    </w:p>
    <w:p w14:paraId="0997C27C" w14:textId="77777777" w:rsidR="004A694B" w:rsidRPr="00823693" w:rsidRDefault="004A694B" w:rsidP="00B06178">
      <w:pPr>
        <w:pBdr>
          <w:bottom w:val="single" w:sz="12" w:space="1" w:color="auto"/>
        </w:pBdr>
        <w:spacing w:line="240" w:lineRule="auto"/>
        <w:jc w:val="both"/>
        <w:rPr>
          <w:rFonts w:ascii="Arial" w:hAnsi="Arial" w:cs="Arial"/>
          <w:b/>
          <w:bCs/>
          <w:smallCaps/>
          <w:lang w:val="fr-CH"/>
        </w:rPr>
      </w:pPr>
      <w:r w:rsidRPr="00823693">
        <w:rPr>
          <w:rFonts w:ascii="Arial" w:hAnsi="Arial" w:cs="Arial"/>
          <w:b/>
          <w:bCs/>
          <w:smallCaps/>
          <w:lang w:val="fr-CH"/>
        </w:rPr>
        <w:t xml:space="preserve">Comment expliquer les incohérences en matière de politiques publiques sur les produits psychotropes ? </w:t>
      </w:r>
    </w:p>
    <w:p w14:paraId="1E0CC24D" w14:textId="77777777" w:rsidR="004A694B" w:rsidRPr="00823693" w:rsidRDefault="004A694B" w:rsidP="00B06178">
      <w:pPr>
        <w:spacing w:line="240" w:lineRule="auto"/>
        <w:jc w:val="both"/>
        <w:rPr>
          <w:rFonts w:ascii="Arial" w:hAnsi="Arial" w:cs="Arial"/>
          <w:lang w:val="fr-CH"/>
        </w:rPr>
      </w:pPr>
    </w:p>
    <w:p w14:paraId="6A86C0BD" w14:textId="77777777" w:rsidR="004A694B" w:rsidRPr="00823693" w:rsidRDefault="004A694B" w:rsidP="00B06178">
      <w:pPr>
        <w:pStyle w:val="Paragraphedeliste"/>
        <w:numPr>
          <w:ilvl w:val="0"/>
          <w:numId w:val="1"/>
        </w:numPr>
        <w:spacing w:line="240" w:lineRule="auto"/>
        <w:ind w:firstLine="0"/>
        <w:jc w:val="both"/>
        <w:rPr>
          <w:rFonts w:ascii="Arial" w:hAnsi="Arial" w:cs="Arial"/>
          <w:b/>
          <w:bCs/>
          <w:lang w:val="fr-CH"/>
        </w:rPr>
      </w:pPr>
      <w:r w:rsidRPr="00823693">
        <w:rPr>
          <w:rFonts w:ascii="Arial" w:hAnsi="Arial" w:cs="Arial"/>
          <w:b/>
          <w:bCs/>
          <w:lang w:val="fr-CH"/>
        </w:rPr>
        <w:t xml:space="preserve">Introduction </w:t>
      </w:r>
    </w:p>
    <w:p w14:paraId="4E9CF86A" w14:textId="77777777" w:rsidR="00B06178" w:rsidRDefault="004A694B" w:rsidP="00B06178">
      <w:pPr>
        <w:spacing w:line="240" w:lineRule="auto"/>
        <w:jc w:val="both"/>
        <w:rPr>
          <w:rFonts w:ascii="Arial" w:eastAsia="Times New Roman" w:hAnsi="Arial" w:cs="Arial"/>
          <w:i/>
          <w:iCs/>
          <w:color w:val="0000FF"/>
          <w:u w:val="single"/>
          <w:lang w:val="fr-CH" w:eastAsia="fr-FR"/>
        </w:rPr>
      </w:pPr>
      <w:r w:rsidRPr="00823693">
        <w:rPr>
          <w:rFonts w:ascii="Arial" w:hAnsi="Arial" w:cs="Arial"/>
          <w:lang w:val="fr-CH"/>
        </w:rPr>
        <w:t>La définition de « </w:t>
      </w:r>
      <w:r w:rsidRPr="00823693">
        <w:rPr>
          <w:rFonts w:ascii="Arial" w:hAnsi="Arial" w:cs="Arial"/>
          <w:b/>
          <w:bCs/>
          <w:lang w:val="fr-CH"/>
        </w:rPr>
        <w:t>psychotrope</w:t>
      </w:r>
      <w:r w:rsidRPr="00823693">
        <w:rPr>
          <w:rFonts w:ascii="Arial" w:hAnsi="Arial" w:cs="Arial"/>
          <w:lang w:val="fr-CH"/>
        </w:rPr>
        <w:t> » trouvée sur wiki est la suivante « </w:t>
      </w:r>
      <w:r w:rsidRPr="00823693">
        <w:rPr>
          <w:rFonts w:ascii="Arial" w:eastAsia="Times New Roman" w:hAnsi="Arial" w:cs="Arial"/>
          <w:i/>
          <w:iCs/>
          <w:lang w:val="fr-CH" w:eastAsia="fr-FR"/>
        </w:rPr>
        <w:t xml:space="preserve">Un </w:t>
      </w:r>
      <w:r w:rsidRPr="00823693">
        <w:rPr>
          <w:rFonts w:ascii="Arial" w:eastAsia="Times New Roman" w:hAnsi="Arial" w:cs="Arial"/>
          <w:b/>
          <w:bCs/>
          <w:i/>
          <w:iCs/>
          <w:lang w:val="fr-CH" w:eastAsia="fr-FR"/>
        </w:rPr>
        <w:t>psychotrope</w:t>
      </w:r>
      <w:r w:rsidRPr="00823693">
        <w:rPr>
          <w:rFonts w:ascii="Arial" w:eastAsia="Times New Roman" w:hAnsi="Arial" w:cs="Arial"/>
          <w:i/>
          <w:iCs/>
          <w:lang w:val="fr-CH" w:eastAsia="fr-FR"/>
        </w:rPr>
        <w:t xml:space="preserve"> est une substance qui agit principalement sur l'état du système nerveux central en y modifiant certains processus biochimiques et physiologiques cérébraux, sans préjuger de sa capacité à induire des phénomènes de dépendance, ni de son éventuelle toxicité (…). </w:t>
      </w:r>
    </w:p>
    <w:p w14:paraId="76F2C79B" w14:textId="77777777" w:rsidR="004A694B" w:rsidRPr="004A694B" w:rsidRDefault="004A694B" w:rsidP="00B06178">
      <w:pPr>
        <w:spacing w:line="240" w:lineRule="auto"/>
        <w:jc w:val="both"/>
        <w:rPr>
          <w:rFonts w:ascii="Arial" w:eastAsia="Times New Roman" w:hAnsi="Arial" w:cs="Arial"/>
          <w:i/>
          <w:iCs/>
          <w:color w:val="0000FF"/>
          <w:u w:val="single"/>
          <w:lang w:val="fr-CH" w:eastAsia="fr-FR"/>
        </w:rPr>
      </w:pPr>
      <w:r w:rsidRPr="004A694B">
        <w:rPr>
          <w:rFonts w:ascii="Arial" w:eastAsia="Times New Roman" w:hAnsi="Arial" w:cs="Arial"/>
          <w:i/>
          <w:iCs/>
          <w:lang w:val="fr-CH" w:eastAsia="fr-FR"/>
        </w:rPr>
        <w:t>Le terme psychotrope signifie littéralement « qui agit en direction » (trope) « de</w:t>
      </w:r>
      <w:r w:rsidRPr="00823693">
        <w:rPr>
          <w:rFonts w:ascii="Arial" w:eastAsia="Times New Roman" w:hAnsi="Arial" w:cs="Arial"/>
          <w:i/>
          <w:iCs/>
          <w:lang w:val="fr-CH" w:eastAsia="fr-FR"/>
        </w:rPr>
        <w:t xml:space="preserve"> l’esprit </w:t>
      </w:r>
      <w:r w:rsidRPr="004A694B">
        <w:rPr>
          <w:rFonts w:ascii="Arial" w:eastAsia="Times New Roman" w:hAnsi="Arial" w:cs="Arial"/>
          <w:i/>
          <w:iCs/>
          <w:lang w:val="fr-CH" w:eastAsia="fr-FR"/>
        </w:rPr>
        <w:t>ou du comportement » (psycho)</w:t>
      </w:r>
      <w:r w:rsidRPr="00823693">
        <w:rPr>
          <w:rFonts w:ascii="Arial" w:eastAsia="Times New Roman" w:hAnsi="Arial" w:cs="Arial"/>
          <w:lang w:val="fr-CH" w:eastAsia="fr-FR"/>
        </w:rPr>
        <w:t xml:space="preserve"> » </w:t>
      </w:r>
    </w:p>
    <w:p w14:paraId="5AE081FD" w14:textId="77777777" w:rsidR="004A694B" w:rsidRPr="00823693" w:rsidRDefault="004A694B" w:rsidP="00B06178">
      <w:pPr>
        <w:spacing w:line="240" w:lineRule="auto"/>
        <w:jc w:val="both"/>
        <w:rPr>
          <w:rFonts w:ascii="Arial" w:eastAsia="Times New Roman" w:hAnsi="Arial" w:cs="Arial"/>
          <w:lang w:val="fr-CH" w:eastAsia="fr-FR"/>
        </w:rPr>
      </w:pPr>
      <w:r w:rsidRPr="00823693">
        <w:rPr>
          <w:rFonts w:ascii="Arial" w:eastAsia="Times New Roman" w:hAnsi="Arial" w:cs="Arial"/>
          <w:lang w:val="fr-CH" w:eastAsia="fr-FR"/>
        </w:rPr>
        <w:t xml:space="preserve">Cette définition permet de prendre conscience que la question ne concerne pas uniquement la consommation de produits incriminés par la </w:t>
      </w:r>
      <w:proofErr w:type="spellStart"/>
      <w:r w:rsidRPr="00823693">
        <w:rPr>
          <w:rFonts w:ascii="Arial" w:eastAsia="Times New Roman" w:hAnsi="Arial" w:cs="Arial"/>
          <w:lang w:val="fr-CH" w:eastAsia="fr-FR"/>
        </w:rPr>
        <w:t>LStup</w:t>
      </w:r>
      <w:proofErr w:type="spellEnd"/>
      <w:r w:rsidRPr="00823693">
        <w:rPr>
          <w:rFonts w:ascii="Arial" w:eastAsia="Times New Roman" w:hAnsi="Arial" w:cs="Arial"/>
          <w:lang w:val="fr-CH" w:eastAsia="fr-FR"/>
        </w:rPr>
        <w:t xml:space="preserve"> et qu’elle englobe tous les produits disponibles, y compris le jeux</w:t>
      </w:r>
      <w:r w:rsidR="0097080B">
        <w:rPr>
          <w:rFonts w:ascii="Arial" w:eastAsia="Times New Roman" w:hAnsi="Arial" w:cs="Arial"/>
          <w:lang w:val="fr-CH" w:eastAsia="fr-FR"/>
        </w:rPr>
        <w:t xml:space="preserve"> (la difficulté étant d’intervenir actuellement sur les jeux en ligne, les « casinos » faisant l’objet de réglementation particulière)</w:t>
      </w:r>
      <w:r w:rsidRPr="00823693">
        <w:rPr>
          <w:rFonts w:ascii="Arial" w:eastAsia="Times New Roman" w:hAnsi="Arial" w:cs="Arial"/>
          <w:lang w:val="fr-CH" w:eastAsia="fr-FR"/>
        </w:rPr>
        <w:t xml:space="preserve">. </w:t>
      </w:r>
    </w:p>
    <w:p w14:paraId="71E7AA56" w14:textId="77777777" w:rsidR="004A694B" w:rsidRPr="00823693" w:rsidRDefault="004A694B" w:rsidP="00B06178">
      <w:pPr>
        <w:spacing w:line="240" w:lineRule="auto"/>
        <w:jc w:val="both"/>
        <w:rPr>
          <w:rFonts w:ascii="Arial" w:eastAsia="Times New Roman" w:hAnsi="Arial" w:cs="Arial"/>
          <w:lang w:val="fr-CH" w:eastAsia="fr-FR"/>
        </w:rPr>
      </w:pPr>
    </w:p>
    <w:p w14:paraId="5F7EA6DE" w14:textId="77777777" w:rsidR="004A694B" w:rsidRPr="00823693" w:rsidRDefault="004A694B" w:rsidP="00B06178">
      <w:pPr>
        <w:pStyle w:val="Paragraphedeliste"/>
        <w:numPr>
          <w:ilvl w:val="0"/>
          <w:numId w:val="1"/>
        </w:numPr>
        <w:spacing w:line="240" w:lineRule="auto"/>
        <w:ind w:firstLine="0"/>
        <w:jc w:val="both"/>
        <w:rPr>
          <w:rFonts w:ascii="Arial" w:eastAsia="Times New Roman" w:hAnsi="Arial" w:cs="Arial"/>
          <w:b/>
          <w:bCs/>
          <w:lang w:val="fr-CH" w:eastAsia="fr-FR"/>
        </w:rPr>
      </w:pPr>
      <w:r w:rsidRPr="00823693">
        <w:rPr>
          <w:rFonts w:ascii="Arial" w:eastAsia="Times New Roman" w:hAnsi="Arial" w:cs="Arial"/>
          <w:b/>
          <w:bCs/>
          <w:lang w:val="fr-CH" w:eastAsia="fr-FR"/>
        </w:rPr>
        <w:t>Distinction</w:t>
      </w:r>
      <w:r w:rsidR="00C662E3" w:rsidRPr="00823693">
        <w:rPr>
          <w:rFonts w:ascii="Arial" w:eastAsia="Times New Roman" w:hAnsi="Arial" w:cs="Arial"/>
          <w:b/>
          <w:bCs/>
          <w:lang w:val="fr-CH" w:eastAsia="fr-FR"/>
        </w:rPr>
        <w:t>s</w:t>
      </w:r>
      <w:r w:rsidRPr="00823693">
        <w:rPr>
          <w:rFonts w:ascii="Arial" w:eastAsia="Times New Roman" w:hAnsi="Arial" w:cs="Arial"/>
          <w:b/>
          <w:bCs/>
          <w:lang w:val="fr-CH" w:eastAsia="fr-FR"/>
        </w:rPr>
        <w:t xml:space="preserve"> </w:t>
      </w:r>
    </w:p>
    <w:p w14:paraId="18D475C8" w14:textId="77777777" w:rsidR="004A694B" w:rsidRPr="00823693" w:rsidRDefault="004A694B" w:rsidP="00B06178">
      <w:pPr>
        <w:spacing w:line="240" w:lineRule="auto"/>
        <w:jc w:val="both"/>
        <w:rPr>
          <w:rFonts w:ascii="Arial" w:eastAsia="Times New Roman" w:hAnsi="Arial" w:cs="Arial"/>
          <w:lang w:val="fr-CH" w:eastAsia="fr-FR"/>
        </w:rPr>
      </w:pPr>
      <w:r w:rsidRPr="00823693">
        <w:rPr>
          <w:rFonts w:ascii="Arial" w:eastAsia="Times New Roman" w:hAnsi="Arial" w:cs="Arial"/>
          <w:lang w:val="fr-CH" w:eastAsia="fr-FR"/>
        </w:rPr>
        <w:t xml:space="preserve">La première pouvant être faite est celle concernant la légalité ou non des produits (héroïne </w:t>
      </w:r>
      <w:r w:rsidR="0097080B">
        <w:rPr>
          <w:rFonts w:ascii="Arial" w:eastAsia="Times New Roman" w:hAnsi="Arial" w:cs="Arial"/>
          <w:lang w:val="fr-CH" w:eastAsia="fr-FR"/>
        </w:rPr>
        <w:t xml:space="preserve">par exemple </w:t>
      </w:r>
      <w:r w:rsidRPr="00823693">
        <w:rPr>
          <w:rFonts w:ascii="Arial" w:eastAsia="Times New Roman" w:hAnsi="Arial" w:cs="Arial"/>
          <w:lang w:val="fr-CH" w:eastAsia="fr-FR"/>
        </w:rPr>
        <w:t xml:space="preserve">versus alcool), tout en sachant que toutes les substances au sens large font l’objet de réglementations fédérales d’une manière ou d’une autre. </w:t>
      </w:r>
    </w:p>
    <w:p w14:paraId="29B7390C" w14:textId="77777777" w:rsidR="004A694B" w:rsidRPr="00823693" w:rsidRDefault="004A694B" w:rsidP="00B06178">
      <w:pPr>
        <w:spacing w:line="240" w:lineRule="auto"/>
        <w:jc w:val="both"/>
        <w:rPr>
          <w:rFonts w:ascii="Arial" w:eastAsia="Times New Roman" w:hAnsi="Arial" w:cs="Arial"/>
          <w:lang w:val="fr-CH" w:eastAsia="fr-FR"/>
        </w:rPr>
      </w:pPr>
      <w:r w:rsidRPr="00823693">
        <w:rPr>
          <w:rFonts w:ascii="Arial" w:eastAsia="Times New Roman" w:hAnsi="Arial" w:cs="Arial"/>
          <w:lang w:val="fr-CH" w:eastAsia="fr-FR"/>
        </w:rPr>
        <w:t xml:space="preserve">Le tabac est un exemple intéressant, qui permet de mettre en lumière certaines incohérences du système. Ainsi, l’art. 112 al. 3 </w:t>
      </w:r>
      <w:proofErr w:type="spellStart"/>
      <w:r w:rsidRPr="00823693">
        <w:rPr>
          <w:rFonts w:ascii="Arial" w:eastAsia="Times New Roman" w:hAnsi="Arial" w:cs="Arial"/>
          <w:lang w:val="fr-CH" w:eastAsia="fr-FR"/>
        </w:rPr>
        <w:t>Cst</w:t>
      </w:r>
      <w:proofErr w:type="spellEnd"/>
      <w:r w:rsidRPr="00823693">
        <w:rPr>
          <w:rFonts w:ascii="Arial" w:eastAsia="Times New Roman" w:hAnsi="Arial" w:cs="Arial"/>
          <w:lang w:val="fr-CH" w:eastAsia="fr-FR"/>
        </w:rPr>
        <w:t xml:space="preserve"> prévoit que </w:t>
      </w:r>
    </w:p>
    <w:p w14:paraId="75144E75" w14:textId="77777777" w:rsidR="004A694B" w:rsidRPr="00823693" w:rsidRDefault="004A694B" w:rsidP="00B06178">
      <w:pPr>
        <w:spacing w:after="0" w:line="240" w:lineRule="auto"/>
        <w:jc w:val="both"/>
        <w:rPr>
          <w:rFonts w:ascii="Arial" w:eastAsia="Times New Roman" w:hAnsi="Arial" w:cs="Arial"/>
          <w:lang w:val="fr-CH" w:eastAsia="fr-FR"/>
        </w:rPr>
      </w:pPr>
      <w:r w:rsidRPr="00823693">
        <w:rPr>
          <w:rFonts w:ascii="Arial" w:eastAsia="Times New Roman" w:hAnsi="Arial" w:cs="Arial"/>
          <w:i/>
          <w:iCs/>
          <w:lang w:val="fr-CH" w:eastAsia="fr-FR"/>
        </w:rPr>
        <w:t>« </w:t>
      </w:r>
      <w:r w:rsidRPr="004A694B">
        <w:rPr>
          <w:rFonts w:ascii="Arial" w:eastAsia="Times New Roman" w:hAnsi="Arial" w:cs="Arial"/>
          <w:i/>
          <w:iCs/>
          <w:lang w:val="fr-CH" w:eastAsia="fr-FR"/>
        </w:rPr>
        <w:t xml:space="preserve">Les prestations de la Confédération sont financées </w:t>
      </w:r>
      <w:r w:rsidRPr="004A694B">
        <w:rPr>
          <w:rFonts w:ascii="Arial" w:eastAsia="Times New Roman" w:hAnsi="Arial" w:cs="Arial"/>
          <w:b/>
          <w:bCs/>
          <w:i/>
          <w:iCs/>
          <w:lang w:val="fr-CH" w:eastAsia="fr-FR"/>
        </w:rPr>
        <w:t>prioritairement par le produit net de l’impôt sur le tabac</w:t>
      </w:r>
      <w:r w:rsidR="00C662E3" w:rsidRPr="00823693">
        <w:rPr>
          <w:rFonts w:ascii="Arial" w:eastAsia="Times New Roman" w:hAnsi="Arial" w:cs="Arial"/>
          <w:b/>
          <w:bCs/>
          <w:i/>
          <w:iCs/>
          <w:lang w:val="fr-CH" w:eastAsia="fr-FR"/>
        </w:rPr>
        <w:t xml:space="preserve"> </w:t>
      </w:r>
      <w:r w:rsidR="00C662E3" w:rsidRPr="00823693">
        <w:rPr>
          <w:rFonts w:ascii="Arial" w:eastAsia="Times New Roman" w:hAnsi="Arial" w:cs="Arial"/>
          <w:b/>
          <w:bCs/>
          <w:lang w:val="fr-CH" w:eastAsia="fr-FR"/>
        </w:rPr>
        <w:t>(</w:t>
      </w:r>
      <w:proofErr w:type="spellStart"/>
      <w:r w:rsidR="00C662E3" w:rsidRPr="00823693">
        <w:rPr>
          <w:rFonts w:ascii="Arial" w:eastAsia="Times New Roman" w:hAnsi="Arial" w:cs="Arial"/>
          <w:b/>
          <w:bCs/>
          <w:lang w:val="fr-CH" w:eastAsia="fr-FR"/>
        </w:rPr>
        <w:t>LTab</w:t>
      </w:r>
      <w:proofErr w:type="spellEnd"/>
      <w:r w:rsidR="00C662E3" w:rsidRPr="00823693">
        <w:rPr>
          <w:rFonts w:ascii="Arial" w:eastAsia="Times New Roman" w:hAnsi="Arial" w:cs="Arial"/>
          <w:lang w:val="fr-CH" w:eastAsia="fr-FR"/>
        </w:rPr>
        <w:t>, RS 641.31</w:t>
      </w:r>
      <w:r w:rsidR="00C662E3" w:rsidRPr="00823693">
        <w:rPr>
          <w:rFonts w:ascii="Arial" w:eastAsia="Times New Roman" w:hAnsi="Arial" w:cs="Arial"/>
          <w:i/>
          <w:iCs/>
          <w:lang w:val="fr-CH" w:eastAsia="fr-FR"/>
        </w:rPr>
        <w:t>)</w:t>
      </w:r>
      <w:r w:rsidRPr="004A694B">
        <w:rPr>
          <w:rFonts w:ascii="Arial" w:eastAsia="Times New Roman" w:hAnsi="Arial" w:cs="Arial"/>
          <w:i/>
          <w:iCs/>
          <w:lang w:val="fr-CH" w:eastAsia="fr-FR"/>
        </w:rPr>
        <w:t xml:space="preserve">, de </w:t>
      </w:r>
      <w:r w:rsidRPr="004A694B">
        <w:rPr>
          <w:rFonts w:ascii="Arial" w:eastAsia="Times New Roman" w:hAnsi="Arial" w:cs="Arial"/>
          <w:b/>
          <w:bCs/>
          <w:i/>
          <w:iCs/>
          <w:lang w:val="fr-CH" w:eastAsia="fr-FR"/>
        </w:rPr>
        <w:t>l’impôt sur les boissons distillées</w:t>
      </w:r>
      <w:r w:rsidRPr="004A694B">
        <w:rPr>
          <w:rFonts w:ascii="Arial" w:eastAsia="Times New Roman" w:hAnsi="Arial" w:cs="Arial"/>
          <w:i/>
          <w:iCs/>
          <w:lang w:val="fr-CH" w:eastAsia="fr-FR"/>
        </w:rPr>
        <w:t xml:space="preserve"> et de </w:t>
      </w:r>
      <w:r w:rsidRPr="004A694B">
        <w:rPr>
          <w:rFonts w:ascii="Arial" w:eastAsia="Times New Roman" w:hAnsi="Arial" w:cs="Arial"/>
          <w:b/>
          <w:bCs/>
          <w:i/>
          <w:iCs/>
          <w:lang w:val="fr-CH" w:eastAsia="fr-FR"/>
        </w:rPr>
        <w:t>l’impôt sur les recettes des maisons de je</w:t>
      </w:r>
      <w:r w:rsidRPr="00823693">
        <w:rPr>
          <w:rFonts w:ascii="Arial" w:eastAsia="Times New Roman" w:hAnsi="Arial" w:cs="Arial"/>
          <w:b/>
          <w:bCs/>
          <w:i/>
          <w:iCs/>
          <w:lang w:val="fr-CH" w:eastAsia="fr-FR"/>
        </w:rPr>
        <w:t>u</w:t>
      </w:r>
      <w:r w:rsidRPr="00823693">
        <w:rPr>
          <w:rFonts w:ascii="Arial" w:eastAsia="Times New Roman" w:hAnsi="Arial" w:cs="Arial"/>
          <w:b/>
          <w:bCs/>
          <w:lang w:val="fr-CH" w:eastAsia="fr-FR"/>
        </w:rPr>
        <w:t> »</w:t>
      </w:r>
      <w:r w:rsidRPr="004A694B">
        <w:rPr>
          <w:rFonts w:ascii="Arial" w:eastAsia="Times New Roman" w:hAnsi="Arial" w:cs="Arial"/>
          <w:lang w:val="fr-CH" w:eastAsia="fr-FR"/>
        </w:rPr>
        <w:t>.</w:t>
      </w:r>
    </w:p>
    <w:p w14:paraId="2712DB30" w14:textId="77777777" w:rsidR="004A694B" w:rsidRPr="00823693" w:rsidRDefault="004A694B" w:rsidP="00B06178">
      <w:pPr>
        <w:spacing w:after="0" w:line="240" w:lineRule="auto"/>
        <w:jc w:val="both"/>
        <w:rPr>
          <w:rFonts w:ascii="Arial" w:eastAsia="Times New Roman" w:hAnsi="Arial" w:cs="Arial"/>
          <w:lang w:val="fr-CH" w:eastAsia="fr-FR"/>
        </w:rPr>
      </w:pPr>
    </w:p>
    <w:p w14:paraId="196F7D82" w14:textId="77777777" w:rsidR="00C662E3" w:rsidRPr="00823693" w:rsidRDefault="004A694B" w:rsidP="00B06178">
      <w:pPr>
        <w:spacing w:after="0" w:line="240" w:lineRule="auto"/>
        <w:jc w:val="both"/>
        <w:rPr>
          <w:rFonts w:ascii="Arial" w:eastAsia="Times New Roman" w:hAnsi="Arial" w:cs="Arial"/>
          <w:lang w:val="fr-CH" w:eastAsia="fr-FR"/>
        </w:rPr>
      </w:pPr>
      <w:r w:rsidRPr="00823693">
        <w:rPr>
          <w:rFonts w:ascii="Arial" w:eastAsia="Times New Roman" w:hAnsi="Arial" w:cs="Arial"/>
          <w:lang w:val="fr-CH" w:eastAsia="fr-FR"/>
        </w:rPr>
        <w:t xml:space="preserve">Tant les boissons alcoolisées que le tabac sont </w:t>
      </w:r>
      <w:r w:rsidR="0097080B">
        <w:rPr>
          <w:rFonts w:ascii="Arial" w:eastAsia="Times New Roman" w:hAnsi="Arial" w:cs="Arial"/>
          <w:lang w:val="fr-CH" w:eastAsia="fr-FR"/>
        </w:rPr>
        <w:t xml:space="preserve">pourtant </w:t>
      </w:r>
      <w:r w:rsidRPr="00823693">
        <w:rPr>
          <w:rFonts w:ascii="Arial" w:eastAsia="Times New Roman" w:hAnsi="Arial" w:cs="Arial"/>
          <w:lang w:val="fr-CH" w:eastAsia="fr-FR"/>
        </w:rPr>
        <w:t xml:space="preserve">considérés comme des psychotropes, le jeu </w:t>
      </w:r>
      <w:r w:rsidR="00C662E3" w:rsidRPr="00823693">
        <w:rPr>
          <w:rFonts w:ascii="Arial" w:eastAsia="Times New Roman" w:hAnsi="Arial" w:cs="Arial"/>
          <w:lang w:val="fr-CH" w:eastAsia="fr-FR"/>
        </w:rPr>
        <w:t xml:space="preserve">rentrant également dans la définition ci-dessus. </w:t>
      </w:r>
    </w:p>
    <w:p w14:paraId="652E9920" w14:textId="77777777" w:rsidR="00C662E3" w:rsidRPr="00823693" w:rsidRDefault="00C662E3" w:rsidP="00B06178">
      <w:pPr>
        <w:spacing w:after="0" w:line="240" w:lineRule="auto"/>
        <w:jc w:val="both"/>
        <w:rPr>
          <w:rFonts w:ascii="Arial" w:eastAsia="Times New Roman" w:hAnsi="Arial" w:cs="Arial"/>
          <w:lang w:val="fr-CH" w:eastAsia="fr-FR"/>
        </w:rPr>
      </w:pPr>
    </w:p>
    <w:p w14:paraId="47B5439B" w14:textId="77777777" w:rsidR="004A694B" w:rsidRPr="00823693" w:rsidRDefault="00C662E3" w:rsidP="00B06178">
      <w:pPr>
        <w:spacing w:after="0" w:line="240" w:lineRule="auto"/>
        <w:jc w:val="both"/>
        <w:rPr>
          <w:rFonts w:ascii="Arial" w:eastAsia="Times New Roman" w:hAnsi="Arial" w:cs="Arial"/>
          <w:lang w:val="fr-CH" w:eastAsia="fr-FR"/>
        </w:rPr>
      </w:pPr>
      <w:r w:rsidRPr="00823693">
        <w:rPr>
          <w:rFonts w:ascii="Arial" w:eastAsia="Times New Roman" w:hAnsi="Arial" w:cs="Arial"/>
          <w:lang w:val="fr-CH" w:eastAsia="fr-FR"/>
        </w:rPr>
        <w:t xml:space="preserve">Il est dès lors « impossible » d’interdire l’achat, l’accès et la consommation de ces trois « produits », dès lors qu’ils sont socialement acceptés et profondément ancrés, soit par une tradition viticole, soit par leur puissance économique (les producteurs de cigarettes sont de très importants employeurs, </w:t>
      </w:r>
      <w:proofErr w:type="spellStart"/>
      <w:r w:rsidRPr="00823693">
        <w:rPr>
          <w:rFonts w:ascii="Arial" w:eastAsia="Times New Roman" w:hAnsi="Arial" w:cs="Arial"/>
          <w:lang w:val="fr-CH" w:eastAsia="fr-FR"/>
        </w:rPr>
        <w:t>Philipp</w:t>
      </w:r>
      <w:proofErr w:type="spellEnd"/>
      <w:r w:rsidRPr="00823693">
        <w:rPr>
          <w:rFonts w:ascii="Arial" w:eastAsia="Times New Roman" w:hAnsi="Arial" w:cs="Arial"/>
          <w:lang w:val="fr-CH" w:eastAsia="fr-FR"/>
        </w:rPr>
        <w:t xml:space="preserve"> Morris en atteste en région lausannoise et neuchâteloise)</w:t>
      </w:r>
      <w:r w:rsidR="00EA321E" w:rsidRPr="00823693">
        <w:rPr>
          <w:rFonts w:ascii="Arial" w:eastAsia="Times New Roman" w:hAnsi="Arial" w:cs="Arial"/>
          <w:lang w:val="fr-CH" w:eastAsia="fr-FR"/>
        </w:rPr>
        <w:t xml:space="preserve">, contribuant de façon significative au système des prestations vieillesse, survivants et invalidité. </w:t>
      </w:r>
    </w:p>
    <w:p w14:paraId="0FEF6921" w14:textId="77777777" w:rsidR="004A694B" w:rsidRPr="00823693" w:rsidRDefault="004A694B" w:rsidP="00B06178">
      <w:pPr>
        <w:spacing w:line="240" w:lineRule="auto"/>
        <w:jc w:val="both"/>
        <w:rPr>
          <w:rFonts w:ascii="Arial" w:eastAsia="Times New Roman" w:hAnsi="Arial" w:cs="Arial"/>
          <w:lang w:val="fr-CH" w:eastAsia="fr-FR"/>
        </w:rPr>
      </w:pPr>
    </w:p>
    <w:p w14:paraId="6EA0C5F7" w14:textId="77777777" w:rsidR="004A694B" w:rsidRPr="00823693" w:rsidRDefault="00EA321E" w:rsidP="00B06178">
      <w:pPr>
        <w:spacing w:line="240" w:lineRule="auto"/>
        <w:jc w:val="both"/>
        <w:rPr>
          <w:rFonts w:ascii="Arial" w:eastAsia="Times New Roman" w:hAnsi="Arial" w:cs="Arial"/>
          <w:lang w:val="fr-CH" w:eastAsia="fr-FR"/>
        </w:rPr>
      </w:pPr>
      <w:r w:rsidRPr="00823693">
        <w:rPr>
          <w:rFonts w:ascii="Arial" w:eastAsia="Times New Roman" w:hAnsi="Arial" w:cs="Arial"/>
          <w:lang w:val="fr-CH" w:eastAsia="fr-FR"/>
        </w:rPr>
        <w:t xml:space="preserve">En outre, le fait d’être producteur conduit certainement à une acceptation plus grande que pour les produits prohibés par la </w:t>
      </w:r>
      <w:proofErr w:type="spellStart"/>
      <w:r w:rsidRPr="00823693">
        <w:rPr>
          <w:rFonts w:ascii="Arial" w:eastAsia="Times New Roman" w:hAnsi="Arial" w:cs="Arial"/>
          <w:lang w:val="fr-CH" w:eastAsia="fr-FR"/>
        </w:rPr>
        <w:t>LStup</w:t>
      </w:r>
      <w:proofErr w:type="spellEnd"/>
      <w:r w:rsidRPr="00823693">
        <w:rPr>
          <w:rFonts w:ascii="Arial" w:eastAsia="Times New Roman" w:hAnsi="Arial" w:cs="Arial"/>
          <w:lang w:val="fr-CH" w:eastAsia="fr-FR"/>
        </w:rPr>
        <w:t xml:space="preserve">. </w:t>
      </w:r>
    </w:p>
    <w:p w14:paraId="28D790AA" w14:textId="77777777" w:rsidR="00EA321E" w:rsidRDefault="00EA321E" w:rsidP="00B06178">
      <w:pPr>
        <w:spacing w:line="240" w:lineRule="auto"/>
        <w:jc w:val="both"/>
        <w:rPr>
          <w:rFonts w:ascii="Arial" w:eastAsia="Times New Roman" w:hAnsi="Arial" w:cs="Arial"/>
          <w:lang w:val="fr-CH" w:eastAsia="fr-FR"/>
        </w:rPr>
      </w:pPr>
    </w:p>
    <w:p w14:paraId="70D58E04" w14:textId="77777777" w:rsidR="00B06178" w:rsidRPr="00823693" w:rsidRDefault="00B06178" w:rsidP="00B06178">
      <w:pPr>
        <w:spacing w:line="240" w:lineRule="auto"/>
        <w:jc w:val="both"/>
        <w:rPr>
          <w:rFonts w:ascii="Arial" w:eastAsia="Times New Roman" w:hAnsi="Arial" w:cs="Arial"/>
          <w:lang w:val="fr-CH" w:eastAsia="fr-FR"/>
        </w:rPr>
      </w:pPr>
      <w:r>
        <w:rPr>
          <w:rFonts w:ascii="Arial" w:eastAsia="Times New Roman" w:hAnsi="Arial" w:cs="Arial"/>
          <w:lang w:val="fr-CH" w:eastAsia="fr-FR"/>
        </w:rPr>
        <w:t xml:space="preserve">L’usage de médicaments, lesquels sont aussi des psychotropes, ne suscite que peur d’intérêt du public, lequel méconnait les risques de dépendance de ces produits, </w:t>
      </w:r>
      <w:r>
        <w:rPr>
          <w:rFonts w:ascii="Arial" w:eastAsia="Times New Roman" w:hAnsi="Arial" w:cs="Arial"/>
          <w:lang w:val="fr-CH" w:eastAsia="fr-FR"/>
        </w:rPr>
        <w:lastRenderedPageBreak/>
        <w:t>argumentant que leur usage est médicalement indiqué et supervisé par un médecin</w:t>
      </w:r>
      <w:r w:rsidR="000D24C5">
        <w:rPr>
          <w:rFonts w:ascii="Arial" w:eastAsia="Times New Roman" w:hAnsi="Arial" w:cs="Arial"/>
          <w:lang w:val="fr-CH" w:eastAsia="fr-FR"/>
        </w:rPr>
        <w:t xml:space="preserve"> : il y a là une forme de politique de l’autruche. </w:t>
      </w:r>
    </w:p>
    <w:p w14:paraId="4BB61B80" w14:textId="77777777" w:rsidR="00BD56C3" w:rsidRPr="00823693" w:rsidRDefault="00BD56C3" w:rsidP="00B06178">
      <w:pPr>
        <w:spacing w:line="240" w:lineRule="auto"/>
        <w:jc w:val="both"/>
        <w:rPr>
          <w:rFonts w:ascii="Arial" w:eastAsia="Times New Roman" w:hAnsi="Arial" w:cs="Arial"/>
          <w:lang w:val="fr-CH" w:eastAsia="fr-FR"/>
        </w:rPr>
      </w:pPr>
    </w:p>
    <w:p w14:paraId="2449D4A5" w14:textId="77777777" w:rsidR="00EA321E" w:rsidRPr="00823693" w:rsidRDefault="00BD56C3" w:rsidP="00B06178">
      <w:pPr>
        <w:pStyle w:val="Paragraphedeliste"/>
        <w:numPr>
          <w:ilvl w:val="0"/>
          <w:numId w:val="1"/>
        </w:numPr>
        <w:spacing w:line="240" w:lineRule="auto"/>
        <w:ind w:firstLine="0"/>
        <w:jc w:val="both"/>
        <w:rPr>
          <w:rFonts w:ascii="Arial" w:eastAsia="Times New Roman" w:hAnsi="Arial" w:cs="Arial"/>
          <w:b/>
          <w:bCs/>
          <w:lang w:val="fr-CH" w:eastAsia="fr-FR"/>
        </w:rPr>
      </w:pPr>
      <w:r w:rsidRPr="00823693">
        <w:rPr>
          <w:rFonts w:ascii="Arial" w:eastAsia="Times New Roman" w:hAnsi="Arial" w:cs="Arial"/>
          <w:b/>
          <w:bCs/>
          <w:lang w:val="fr-CH" w:eastAsia="fr-FR"/>
        </w:rPr>
        <w:t xml:space="preserve">Protection de la santé </w:t>
      </w:r>
    </w:p>
    <w:p w14:paraId="3F6F7AEF" w14:textId="77777777" w:rsidR="00BD56C3" w:rsidRPr="00823693" w:rsidRDefault="00BD56C3" w:rsidP="00B06178">
      <w:pPr>
        <w:spacing w:line="240" w:lineRule="auto"/>
        <w:jc w:val="both"/>
        <w:rPr>
          <w:rFonts w:ascii="Arial" w:hAnsi="Arial" w:cs="Arial"/>
          <w:lang w:val="fr-CH"/>
        </w:rPr>
      </w:pPr>
      <w:r w:rsidRPr="00823693">
        <w:rPr>
          <w:rFonts w:ascii="Arial" w:hAnsi="Arial" w:cs="Arial"/>
          <w:lang w:val="fr-CH"/>
        </w:rPr>
        <w:t>Pour des motifs de protection notamment de la jeunesse, des cautèles à l’accès des trois produits</w:t>
      </w:r>
      <w:r w:rsidR="00823693">
        <w:rPr>
          <w:rFonts w:ascii="Arial" w:hAnsi="Arial" w:cs="Arial"/>
          <w:lang w:val="fr-CH"/>
        </w:rPr>
        <w:t xml:space="preserve"> « acceptés »</w:t>
      </w:r>
      <w:r w:rsidRPr="00823693">
        <w:rPr>
          <w:rFonts w:ascii="Arial" w:hAnsi="Arial" w:cs="Arial"/>
          <w:lang w:val="fr-CH"/>
        </w:rPr>
        <w:t xml:space="preserve"> que sont le tabac, l’alcool et le jeux ont été mis (18, 16 pour la bière, 18 pour le jeu), leur utilisation étant laissée à l’appréciation de chacun. </w:t>
      </w:r>
      <w:r w:rsidR="00823693">
        <w:rPr>
          <w:rFonts w:ascii="Arial" w:hAnsi="Arial" w:cs="Arial"/>
          <w:lang w:val="fr-CH"/>
        </w:rPr>
        <w:t xml:space="preserve">La question de l’âge n’intervient pas dans </w:t>
      </w:r>
      <w:r w:rsidR="0097080B">
        <w:rPr>
          <w:rFonts w:ascii="Arial" w:hAnsi="Arial" w:cs="Arial"/>
          <w:lang w:val="fr-CH"/>
        </w:rPr>
        <w:t xml:space="preserve">la </w:t>
      </w:r>
      <w:proofErr w:type="spellStart"/>
      <w:r w:rsidR="0097080B">
        <w:rPr>
          <w:rFonts w:ascii="Arial" w:hAnsi="Arial" w:cs="Arial"/>
          <w:lang w:val="fr-CH"/>
        </w:rPr>
        <w:t>LStup</w:t>
      </w:r>
      <w:proofErr w:type="spellEnd"/>
      <w:r w:rsidR="0097080B">
        <w:rPr>
          <w:rFonts w:ascii="Arial" w:hAnsi="Arial" w:cs="Arial"/>
          <w:lang w:val="fr-CH"/>
        </w:rPr>
        <w:t xml:space="preserve">, sauf en ce qui concerne la </w:t>
      </w:r>
      <w:proofErr w:type="spellStart"/>
      <w:r w:rsidR="0097080B">
        <w:rPr>
          <w:rFonts w:ascii="Arial" w:hAnsi="Arial" w:cs="Arial"/>
          <w:lang w:val="fr-CH"/>
        </w:rPr>
        <w:t>punissabilité</w:t>
      </w:r>
      <w:proofErr w:type="spellEnd"/>
      <w:r w:rsidR="0097080B">
        <w:rPr>
          <w:rFonts w:ascii="Arial" w:hAnsi="Arial" w:cs="Arial"/>
          <w:lang w:val="fr-CH"/>
        </w:rPr>
        <w:t xml:space="preserve"> d’un vendeur à des jeunes de moins de 18 ans. </w:t>
      </w:r>
    </w:p>
    <w:p w14:paraId="32CBF71F" w14:textId="77777777" w:rsidR="00BD56C3" w:rsidRPr="00823693" w:rsidRDefault="00BD56C3" w:rsidP="00B06178">
      <w:pPr>
        <w:spacing w:line="240" w:lineRule="auto"/>
        <w:jc w:val="both"/>
        <w:rPr>
          <w:rFonts w:ascii="Arial" w:hAnsi="Arial" w:cs="Arial"/>
          <w:lang w:val="fr-CH"/>
        </w:rPr>
      </w:pPr>
      <w:r w:rsidRPr="00823693">
        <w:rPr>
          <w:rFonts w:ascii="Arial" w:hAnsi="Arial" w:cs="Arial"/>
          <w:lang w:val="fr-CH"/>
        </w:rPr>
        <w:t xml:space="preserve">Une des incohérences provient de ce que différents mythes ont la vie dure malgré le travail d’information fait par certaines organisations, dont le GREA : les drogues </w:t>
      </w:r>
      <w:r w:rsidR="00823693" w:rsidRPr="00823693">
        <w:rPr>
          <w:rFonts w:ascii="Arial" w:hAnsi="Arial" w:cs="Arial"/>
          <w:lang w:val="fr-CH"/>
        </w:rPr>
        <w:t xml:space="preserve">tombant sous le coup </w:t>
      </w:r>
      <w:r w:rsidRPr="00823693">
        <w:rPr>
          <w:rFonts w:ascii="Arial" w:hAnsi="Arial" w:cs="Arial"/>
          <w:lang w:val="fr-CH"/>
        </w:rPr>
        <w:t xml:space="preserve">de la </w:t>
      </w:r>
      <w:proofErr w:type="spellStart"/>
      <w:r w:rsidRPr="00823693">
        <w:rPr>
          <w:rFonts w:ascii="Arial" w:hAnsi="Arial" w:cs="Arial"/>
          <w:lang w:val="fr-CH"/>
        </w:rPr>
        <w:t>LStup</w:t>
      </w:r>
      <w:proofErr w:type="spellEnd"/>
      <w:r w:rsidRPr="00823693">
        <w:rPr>
          <w:rFonts w:ascii="Arial" w:hAnsi="Arial" w:cs="Arial"/>
          <w:lang w:val="fr-CH"/>
        </w:rPr>
        <w:t xml:space="preserve"> seraient les plus addictives et les plus dangereuses, le vin, l’alcool étant des éléments « festifs ». </w:t>
      </w:r>
    </w:p>
    <w:p w14:paraId="55D42100" w14:textId="77777777" w:rsidR="00823693" w:rsidRDefault="00BD56C3" w:rsidP="00B06178">
      <w:pPr>
        <w:spacing w:line="240" w:lineRule="auto"/>
        <w:jc w:val="both"/>
        <w:rPr>
          <w:rFonts w:ascii="Arial" w:hAnsi="Arial" w:cs="Arial"/>
          <w:lang w:val="fr-CH"/>
        </w:rPr>
      </w:pPr>
      <w:r w:rsidRPr="00823693">
        <w:rPr>
          <w:rFonts w:ascii="Arial" w:hAnsi="Arial" w:cs="Arial"/>
          <w:lang w:val="fr-CH"/>
        </w:rPr>
        <w:t xml:space="preserve">Il est démontré que l’addiction au vin et au tabac est supérieure à celle au haschisch et que </w:t>
      </w:r>
      <w:r w:rsidR="00823693" w:rsidRPr="00823693">
        <w:rPr>
          <w:rFonts w:ascii="Arial" w:hAnsi="Arial" w:cs="Arial"/>
          <w:lang w:val="fr-CH"/>
        </w:rPr>
        <w:t xml:space="preserve">les troubles d’ordre psychiatrique découlant de l’ingestion d’alcool et de tabac sont identiques à ceux liés à la consommation de haschisch de nouveau. </w:t>
      </w:r>
    </w:p>
    <w:p w14:paraId="4602D471" w14:textId="77777777" w:rsidR="00823693" w:rsidRDefault="00823693" w:rsidP="00B06178">
      <w:pPr>
        <w:spacing w:line="240" w:lineRule="auto"/>
        <w:jc w:val="both"/>
        <w:rPr>
          <w:rFonts w:ascii="Arial" w:hAnsi="Arial" w:cs="Arial"/>
          <w:lang w:val="fr-CH"/>
        </w:rPr>
      </w:pPr>
      <w:r>
        <w:rPr>
          <w:rFonts w:ascii="Arial" w:hAnsi="Arial" w:cs="Arial"/>
          <w:lang w:val="fr-CH"/>
        </w:rPr>
        <w:t xml:space="preserve">Une des incohérences a été de vouloir, pendant longtemps, éradiquer « le produit », alors qu’aucune politique de répression n’a jamais porté ses fruits ; actuellement, la question de la prévention, de la thérapie et de la réduction des risques fait enfin partie intégrante de la </w:t>
      </w:r>
      <w:proofErr w:type="spellStart"/>
      <w:r>
        <w:rPr>
          <w:rFonts w:ascii="Arial" w:hAnsi="Arial" w:cs="Arial"/>
          <w:lang w:val="fr-CH"/>
        </w:rPr>
        <w:t>LStup</w:t>
      </w:r>
      <w:proofErr w:type="spellEnd"/>
      <w:r>
        <w:rPr>
          <w:rFonts w:ascii="Arial" w:hAnsi="Arial" w:cs="Arial"/>
          <w:lang w:val="fr-CH"/>
        </w:rPr>
        <w:t xml:space="preserve"> alors que pour le tabac, l’alcool et le jeu, la seule cautèle reste l’âge d’accès et que peu de mesures de prévention sont prise : la seule interdiction de publicité ne suffit pas à prévenir selon moi. </w:t>
      </w:r>
    </w:p>
    <w:p w14:paraId="759CCBEA" w14:textId="77777777" w:rsidR="00823693" w:rsidRPr="00823693" w:rsidRDefault="00823693" w:rsidP="00B06178">
      <w:pPr>
        <w:spacing w:line="240" w:lineRule="auto"/>
        <w:jc w:val="both"/>
        <w:rPr>
          <w:rFonts w:ascii="Arial" w:hAnsi="Arial" w:cs="Arial"/>
          <w:lang w:val="fr-CH"/>
        </w:rPr>
      </w:pPr>
    </w:p>
    <w:p w14:paraId="1B47BA2F" w14:textId="77777777" w:rsidR="005C3914" w:rsidRPr="00823693" w:rsidRDefault="005C3914" w:rsidP="00B06178">
      <w:pPr>
        <w:spacing w:line="240" w:lineRule="auto"/>
        <w:jc w:val="both"/>
        <w:rPr>
          <w:rFonts w:ascii="Arial" w:hAnsi="Arial" w:cs="Arial"/>
          <w:b/>
          <w:lang w:val="fr-CH"/>
        </w:rPr>
      </w:pPr>
    </w:p>
    <w:p w14:paraId="29BE5F63" w14:textId="77777777" w:rsidR="004A694B" w:rsidRPr="00823693" w:rsidRDefault="004A694B" w:rsidP="00B06178">
      <w:pPr>
        <w:spacing w:line="240" w:lineRule="auto"/>
        <w:jc w:val="both"/>
        <w:rPr>
          <w:rFonts w:ascii="Arial" w:hAnsi="Arial" w:cs="Arial"/>
          <w:b/>
          <w:lang w:val="fr-CH"/>
        </w:rPr>
      </w:pPr>
    </w:p>
    <w:p w14:paraId="075E294B" w14:textId="77777777" w:rsidR="004A694B" w:rsidRPr="00823693" w:rsidRDefault="004A694B" w:rsidP="00B06178">
      <w:pPr>
        <w:spacing w:line="240" w:lineRule="auto"/>
        <w:jc w:val="both"/>
        <w:rPr>
          <w:rFonts w:ascii="Arial" w:hAnsi="Arial" w:cs="Arial"/>
          <w:b/>
          <w:lang w:val="fr-CH"/>
        </w:rPr>
      </w:pPr>
    </w:p>
    <w:p w14:paraId="4262CAEF" w14:textId="77777777" w:rsidR="004A694B" w:rsidRPr="00823693" w:rsidRDefault="004A694B" w:rsidP="00B06178">
      <w:pPr>
        <w:spacing w:line="240" w:lineRule="auto"/>
        <w:jc w:val="both"/>
        <w:rPr>
          <w:rFonts w:ascii="Arial" w:hAnsi="Arial" w:cs="Arial"/>
          <w:b/>
          <w:lang w:val="fr-CH"/>
        </w:rPr>
      </w:pPr>
      <w:r w:rsidRPr="00823693">
        <w:rPr>
          <w:rFonts w:ascii="Arial" w:hAnsi="Arial" w:cs="Arial"/>
          <w:b/>
          <w:lang w:val="fr-CH"/>
        </w:rPr>
        <w:br w:type="page"/>
      </w:r>
      <w:r w:rsidRPr="00823693">
        <w:rPr>
          <w:rFonts w:ascii="Arial" w:hAnsi="Arial" w:cs="Arial"/>
          <w:b/>
          <w:bCs/>
          <w:caps/>
          <w:lang w:val="fr-CH"/>
        </w:rPr>
        <w:lastRenderedPageBreak/>
        <w:t>Addictions</w:t>
      </w:r>
    </w:p>
    <w:p w14:paraId="630FFE80" w14:textId="77777777" w:rsidR="004A694B" w:rsidRPr="00823693" w:rsidRDefault="004A694B" w:rsidP="00B06178">
      <w:pPr>
        <w:pBdr>
          <w:bottom w:val="single" w:sz="12" w:space="1" w:color="auto"/>
        </w:pBdr>
        <w:spacing w:line="240" w:lineRule="auto"/>
        <w:jc w:val="both"/>
        <w:rPr>
          <w:rFonts w:ascii="Arial" w:hAnsi="Arial" w:cs="Arial"/>
          <w:b/>
          <w:bCs/>
          <w:smallCaps/>
          <w:lang w:val="fr-CH"/>
        </w:rPr>
      </w:pPr>
      <w:r w:rsidRPr="00823693">
        <w:rPr>
          <w:rFonts w:ascii="Arial" w:hAnsi="Arial" w:cs="Arial"/>
          <w:b/>
          <w:bCs/>
          <w:smallCaps/>
          <w:lang w:val="fr-CH"/>
        </w:rPr>
        <w:t xml:space="preserve">Quelles sont les évolutions marquante en matière de drogues illégales, depuis le lancement de la Guerre à la drogue en 1971 ? </w:t>
      </w:r>
    </w:p>
    <w:p w14:paraId="77A35FDF" w14:textId="77777777" w:rsidR="004A694B" w:rsidRDefault="000D24C5" w:rsidP="00B06178">
      <w:pPr>
        <w:spacing w:line="240" w:lineRule="auto"/>
        <w:jc w:val="both"/>
        <w:rPr>
          <w:rFonts w:ascii="Arial" w:hAnsi="Arial" w:cs="Arial"/>
          <w:lang w:val="fr-CH"/>
        </w:rPr>
      </w:pPr>
      <w:r>
        <w:rPr>
          <w:rFonts w:ascii="Arial" w:hAnsi="Arial" w:cs="Arial"/>
          <w:lang w:val="fr-CH"/>
        </w:rPr>
        <w:t xml:space="preserve">L’évolution la plus marquante a certainement été le passage du « tout répressif » </w:t>
      </w:r>
      <w:r w:rsidR="00FB2871">
        <w:rPr>
          <w:rFonts w:ascii="Arial" w:hAnsi="Arial" w:cs="Arial"/>
          <w:lang w:val="fr-CH"/>
        </w:rPr>
        <w:t xml:space="preserve">(prohibition américaine) </w:t>
      </w:r>
      <w:r>
        <w:rPr>
          <w:rFonts w:ascii="Arial" w:hAnsi="Arial" w:cs="Arial"/>
          <w:lang w:val="fr-CH"/>
        </w:rPr>
        <w:t>au système des quatre piliers</w:t>
      </w:r>
      <w:r w:rsidR="00FB2871">
        <w:rPr>
          <w:rFonts w:ascii="Arial" w:hAnsi="Arial" w:cs="Arial"/>
          <w:lang w:val="fr-CH"/>
        </w:rPr>
        <w:t xml:space="preserve"> et la Déclaration d’Ascona</w:t>
      </w:r>
      <w:r>
        <w:rPr>
          <w:rFonts w:ascii="Arial" w:hAnsi="Arial" w:cs="Arial"/>
          <w:lang w:val="fr-CH"/>
        </w:rPr>
        <w:t xml:space="preserve">, ce qui impose de revenir sur quelques dates et faits marquants. </w:t>
      </w:r>
    </w:p>
    <w:p w14:paraId="51A1D304" w14:textId="77777777" w:rsidR="00FB2871" w:rsidRDefault="00FB2871" w:rsidP="00B06178">
      <w:pPr>
        <w:spacing w:line="240" w:lineRule="auto"/>
        <w:jc w:val="both"/>
        <w:rPr>
          <w:rFonts w:ascii="Arial" w:hAnsi="Arial" w:cs="Arial"/>
          <w:lang w:val="fr-CH"/>
        </w:rPr>
      </w:pPr>
      <w:r>
        <w:rPr>
          <w:rFonts w:ascii="Arial" w:hAnsi="Arial" w:cs="Arial"/>
          <w:lang w:val="fr-CH"/>
        </w:rPr>
        <w:t xml:space="preserve">Le « progrès » le plus marquant à relever consiste à la volonté actuelle de ne plus occulter le fait que les consommateurs sont également des citoyens et qu’à ce titre, ils bénéficient de tous les </w:t>
      </w:r>
      <w:r w:rsidRPr="00FB2871">
        <w:rPr>
          <w:rFonts w:ascii="Arial" w:hAnsi="Arial" w:cs="Arial"/>
          <w:b/>
          <w:bCs/>
          <w:lang w:val="fr-CH"/>
        </w:rPr>
        <w:t>droits humains</w:t>
      </w:r>
      <w:r>
        <w:rPr>
          <w:rFonts w:ascii="Arial" w:hAnsi="Arial" w:cs="Arial"/>
          <w:lang w:val="fr-CH"/>
        </w:rPr>
        <w:t xml:space="preserve">, comme n’importe qui, même si la volonté de respecter ces droits est mise à mal par la réalité (sevrage sec en détention provisoire notamment). </w:t>
      </w:r>
    </w:p>
    <w:p w14:paraId="48291499" w14:textId="77777777" w:rsidR="000D24C5" w:rsidRPr="00823693" w:rsidRDefault="000D24C5" w:rsidP="00B06178">
      <w:pPr>
        <w:spacing w:line="240" w:lineRule="auto"/>
        <w:jc w:val="both"/>
        <w:rPr>
          <w:rFonts w:ascii="Arial" w:hAnsi="Arial" w:cs="Arial"/>
          <w:lang w:val="fr-CH"/>
        </w:rPr>
      </w:pPr>
    </w:p>
    <w:p w14:paraId="6B080ABF" w14:textId="77777777" w:rsidR="00245FD0" w:rsidRPr="00823693" w:rsidRDefault="00245FD0" w:rsidP="00B06178">
      <w:pPr>
        <w:spacing w:line="240" w:lineRule="auto"/>
        <w:jc w:val="both"/>
        <w:rPr>
          <w:rFonts w:ascii="Arial" w:hAnsi="Arial" w:cs="Arial"/>
          <w:u w:val="single"/>
          <w:lang w:val="fr-CH"/>
        </w:rPr>
      </w:pPr>
      <w:r w:rsidRPr="00823693">
        <w:rPr>
          <w:rFonts w:ascii="Arial" w:hAnsi="Arial" w:cs="Arial"/>
          <w:u w:val="single"/>
          <w:lang w:val="fr-CH"/>
        </w:rPr>
        <w:t>Dates clés</w:t>
      </w:r>
    </w:p>
    <w:p w14:paraId="2E912112" w14:textId="77777777" w:rsidR="00245FD0" w:rsidRPr="00823693" w:rsidRDefault="00245FD0" w:rsidP="00B06178">
      <w:pPr>
        <w:spacing w:line="240" w:lineRule="auto"/>
        <w:jc w:val="both"/>
        <w:rPr>
          <w:rFonts w:ascii="Arial" w:hAnsi="Arial" w:cs="Arial"/>
          <w:lang w:val="fr-CH"/>
        </w:rPr>
      </w:pPr>
      <w:r w:rsidRPr="00823693">
        <w:rPr>
          <w:rFonts w:ascii="Arial" w:hAnsi="Arial" w:cs="Arial"/>
          <w:lang w:val="fr-CH"/>
        </w:rPr>
        <w:t>1951 :</w:t>
      </w:r>
      <w:r w:rsidR="00DA2D33">
        <w:rPr>
          <w:rFonts w:ascii="Arial" w:hAnsi="Arial" w:cs="Arial"/>
          <w:lang w:val="fr-CH"/>
        </w:rPr>
        <w:tab/>
      </w:r>
      <w:r w:rsidRPr="00823693">
        <w:rPr>
          <w:rFonts w:ascii="Arial" w:hAnsi="Arial" w:cs="Arial"/>
          <w:lang w:val="fr-CH"/>
        </w:rPr>
        <w:t xml:space="preserve"> interdiction du </w:t>
      </w:r>
      <w:r w:rsidRPr="00FB2871">
        <w:rPr>
          <w:rFonts w:ascii="Arial" w:hAnsi="Arial" w:cs="Arial"/>
          <w:b/>
          <w:bCs/>
          <w:lang w:val="fr-CH"/>
        </w:rPr>
        <w:t>commerce</w:t>
      </w:r>
      <w:r w:rsidRPr="00823693">
        <w:rPr>
          <w:rFonts w:ascii="Arial" w:hAnsi="Arial" w:cs="Arial"/>
          <w:lang w:val="fr-CH"/>
        </w:rPr>
        <w:t xml:space="preserve">, </w:t>
      </w:r>
      <w:proofErr w:type="spellStart"/>
      <w:r w:rsidRPr="00823693">
        <w:rPr>
          <w:rFonts w:ascii="Arial" w:hAnsi="Arial" w:cs="Arial"/>
          <w:lang w:val="fr-CH"/>
        </w:rPr>
        <w:t>LStup</w:t>
      </w:r>
      <w:proofErr w:type="spellEnd"/>
    </w:p>
    <w:p w14:paraId="10AE87BC" w14:textId="77777777" w:rsidR="00245FD0" w:rsidRPr="00823693" w:rsidRDefault="00245FD0" w:rsidP="00B06178">
      <w:pPr>
        <w:spacing w:line="240" w:lineRule="auto"/>
        <w:jc w:val="both"/>
        <w:rPr>
          <w:rFonts w:ascii="Arial" w:hAnsi="Arial" w:cs="Arial"/>
          <w:lang w:val="fr-CH"/>
        </w:rPr>
      </w:pPr>
      <w:r w:rsidRPr="00823693">
        <w:rPr>
          <w:rFonts w:ascii="Arial" w:hAnsi="Arial" w:cs="Arial"/>
          <w:lang w:val="fr-CH"/>
        </w:rPr>
        <w:t xml:space="preserve">1961 : </w:t>
      </w:r>
      <w:r w:rsidR="00DA2D33">
        <w:rPr>
          <w:rFonts w:ascii="Arial" w:hAnsi="Arial" w:cs="Arial"/>
          <w:lang w:val="fr-CH"/>
        </w:rPr>
        <w:tab/>
      </w:r>
      <w:r w:rsidRPr="00823693">
        <w:rPr>
          <w:rFonts w:ascii="Arial" w:hAnsi="Arial" w:cs="Arial"/>
          <w:lang w:val="fr-CH"/>
        </w:rPr>
        <w:t>1</w:t>
      </w:r>
      <w:r w:rsidRPr="00823693">
        <w:rPr>
          <w:rFonts w:ascii="Arial" w:hAnsi="Arial" w:cs="Arial"/>
          <w:vertAlign w:val="superscript"/>
          <w:lang w:val="fr-CH"/>
        </w:rPr>
        <w:t>ère</w:t>
      </w:r>
      <w:r w:rsidRPr="00823693">
        <w:rPr>
          <w:rFonts w:ascii="Arial" w:hAnsi="Arial" w:cs="Arial"/>
          <w:lang w:val="fr-CH"/>
        </w:rPr>
        <w:t xml:space="preserve"> convention internationale portant sur l’interdiction de commerce de drogues </w:t>
      </w:r>
    </w:p>
    <w:p w14:paraId="1299E2C2" w14:textId="77777777" w:rsidR="00245FD0" w:rsidRPr="00823693" w:rsidRDefault="00245FD0" w:rsidP="00B06178">
      <w:pPr>
        <w:spacing w:line="240" w:lineRule="auto"/>
        <w:jc w:val="both"/>
        <w:rPr>
          <w:rFonts w:ascii="Arial" w:hAnsi="Arial" w:cs="Arial"/>
          <w:lang w:val="fr-CH"/>
        </w:rPr>
      </w:pPr>
      <w:r w:rsidRPr="00823693">
        <w:rPr>
          <w:rFonts w:ascii="Arial" w:hAnsi="Arial" w:cs="Arial"/>
          <w:lang w:val="fr-CH"/>
        </w:rPr>
        <w:t>1968 :</w:t>
      </w:r>
      <w:r w:rsidR="00DA2D33">
        <w:rPr>
          <w:rFonts w:ascii="Arial" w:hAnsi="Arial" w:cs="Arial"/>
          <w:lang w:val="fr-CH"/>
        </w:rPr>
        <w:tab/>
      </w:r>
      <w:r w:rsidRPr="00823693">
        <w:rPr>
          <w:rFonts w:ascii="Arial" w:hAnsi="Arial" w:cs="Arial"/>
          <w:lang w:val="fr-CH"/>
        </w:rPr>
        <w:t xml:space="preserve"> jurisprudence du TF interdisant la </w:t>
      </w:r>
      <w:r w:rsidRPr="00FB2871">
        <w:rPr>
          <w:rFonts w:ascii="Arial" w:hAnsi="Arial" w:cs="Arial"/>
          <w:b/>
          <w:bCs/>
          <w:lang w:val="fr-CH"/>
        </w:rPr>
        <w:t>consommation</w:t>
      </w:r>
      <w:r w:rsidRPr="00823693">
        <w:rPr>
          <w:rFonts w:ascii="Arial" w:hAnsi="Arial" w:cs="Arial"/>
          <w:lang w:val="fr-CH"/>
        </w:rPr>
        <w:t xml:space="preserve"> de drogue</w:t>
      </w:r>
    </w:p>
    <w:p w14:paraId="349CED71" w14:textId="77777777" w:rsidR="00245FD0" w:rsidRPr="00823693" w:rsidRDefault="00245FD0" w:rsidP="00B06178">
      <w:pPr>
        <w:spacing w:line="240" w:lineRule="auto"/>
        <w:jc w:val="both"/>
        <w:rPr>
          <w:rFonts w:ascii="Arial" w:hAnsi="Arial" w:cs="Arial"/>
          <w:lang w:val="fr-CH"/>
        </w:rPr>
      </w:pPr>
      <w:r w:rsidRPr="00823693">
        <w:rPr>
          <w:rFonts w:ascii="Arial" w:hAnsi="Arial" w:cs="Arial"/>
          <w:lang w:val="fr-CH"/>
        </w:rPr>
        <w:t xml:space="preserve">1988 : </w:t>
      </w:r>
      <w:r w:rsidR="00DA2D33">
        <w:rPr>
          <w:rFonts w:ascii="Arial" w:hAnsi="Arial" w:cs="Arial"/>
          <w:lang w:val="fr-CH"/>
        </w:rPr>
        <w:tab/>
      </w:r>
      <w:r w:rsidRPr="00823693">
        <w:rPr>
          <w:rFonts w:ascii="Arial" w:hAnsi="Arial" w:cs="Arial"/>
          <w:lang w:val="fr-CH"/>
        </w:rPr>
        <w:t>3</w:t>
      </w:r>
      <w:r w:rsidRPr="00823693">
        <w:rPr>
          <w:rFonts w:ascii="Arial" w:hAnsi="Arial" w:cs="Arial"/>
          <w:vertAlign w:val="superscript"/>
          <w:lang w:val="fr-CH"/>
        </w:rPr>
        <w:t>ème</w:t>
      </w:r>
      <w:r w:rsidRPr="00823693">
        <w:rPr>
          <w:rFonts w:ascii="Arial" w:hAnsi="Arial" w:cs="Arial"/>
          <w:lang w:val="fr-CH"/>
        </w:rPr>
        <w:t xml:space="preserve"> convention internationale sur les drogues interdisant la consommation</w:t>
      </w:r>
    </w:p>
    <w:p w14:paraId="034DCE0A" w14:textId="77777777" w:rsidR="00245FD0" w:rsidRDefault="00245FD0" w:rsidP="00B06178">
      <w:pPr>
        <w:spacing w:line="240" w:lineRule="auto"/>
        <w:jc w:val="both"/>
        <w:rPr>
          <w:rFonts w:ascii="Arial" w:hAnsi="Arial" w:cs="Arial"/>
          <w:lang w:val="fr-CH"/>
        </w:rPr>
      </w:pPr>
      <w:r w:rsidRPr="00823693">
        <w:rPr>
          <w:rFonts w:ascii="Arial" w:hAnsi="Arial" w:cs="Arial"/>
          <w:lang w:val="fr-CH"/>
        </w:rPr>
        <w:t xml:space="preserve">1989 : rapport </w:t>
      </w:r>
      <w:r w:rsidR="00DA2D33">
        <w:rPr>
          <w:rFonts w:ascii="Arial" w:hAnsi="Arial" w:cs="Arial"/>
          <w:lang w:val="fr-CH"/>
        </w:rPr>
        <w:t>de la commission fédérale pour les questions liées aux drogues (CFLD)</w:t>
      </w:r>
      <w:r w:rsidRPr="00823693">
        <w:rPr>
          <w:rFonts w:ascii="Arial" w:hAnsi="Arial" w:cs="Arial"/>
          <w:lang w:val="fr-CH"/>
        </w:rPr>
        <w:t xml:space="preserve"> sur la dépénalisation</w:t>
      </w:r>
      <w:r w:rsidR="00DB7A24" w:rsidRPr="00823693">
        <w:rPr>
          <w:rFonts w:ascii="Arial" w:hAnsi="Arial" w:cs="Arial"/>
          <w:lang w:val="fr-CH"/>
        </w:rPr>
        <w:t xml:space="preserve"> des drogues en Suisse</w:t>
      </w:r>
      <w:r w:rsidR="00DA2D33">
        <w:rPr>
          <w:rFonts w:ascii="Arial" w:hAnsi="Arial" w:cs="Arial"/>
          <w:lang w:val="fr-CH"/>
        </w:rPr>
        <w:t xml:space="preserve"> : elle discute des modèles de régulation de cannabis (2014) </w:t>
      </w:r>
    </w:p>
    <w:p w14:paraId="5AE5FBC5" w14:textId="77777777" w:rsidR="00DA2D33" w:rsidRPr="00823693" w:rsidRDefault="00FB2871" w:rsidP="00B06178">
      <w:pPr>
        <w:spacing w:line="240" w:lineRule="auto"/>
        <w:jc w:val="both"/>
        <w:rPr>
          <w:rFonts w:ascii="Arial" w:hAnsi="Arial" w:cs="Arial"/>
          <w:lang w:val="fr-CH"/>
        </w:rPr>
      </w:pPr>
      <w:r>
        <w:rPr>
          <w:rFonts w:ascii="Arial" w:hAnsi="Arial" w:cs="Arial"/>
          <w:lang w:val="fr-CH"/>
        </w:rPr>
        <w:t xml:space="preserve">2016 : Déclaration d’Ascona </w:t>
      </w:r>
    </w:p>
    <w:p w14:paraId="43F89FDE" w14:textId="77777777" w:rsidR="00FB2871" w:rsidRDefault="00FB2871" w:rsidP="00B06178">
      <w:pPr>
        <w:spacing w:line="240" w:lineRule="auto"/>
        <w:jc w:val="both"/>
        <w:rPr>
          <w:rFonts w:ascii="Arial" w:hAnsi="Arial" w:cs="Arial"/>
          <w:lang w:val="fr-CH"/>
        </w:rPr>
      </w:pPr>
      <w:r>
        <w:rPr>
          <w:rFonts w:ascii="Arial" w:hAnsi="Arial" w:cs="Arial"/>
          <w:lang w:val="fr-CH"/>
        </w:rPr>
        <w:t xml:space="preserve">Actuellement, le modèle suisse repose sur quatre volets : </w:t>
      </w:r>
    </w:p>
    <w:p w14:paraId="3419D653" w14:textId="77777777" w:rsidR="00FB2871" w:rsidRDefault="00FB2871" w:rsidP="00FB2871">
      <w:pPr>
        <w:pStyle w:val="Paragraphedeliste"/>
        <w:numPr>
          <w:ilvl w:val="0"/>
          <w:numId w:val="2"/>
        </w:numPr>
        <w:spacing w:line="240" w:lineRule="auto"/>
        <w:jc w:val="both"/>
        <w:rPr>
          <w:rFonts w:ascii="Arial" w:hAnsi="Arial" w:cs="Arial"/>
          <w:lang w:val="fr-CH"/>
        </w:rPr>
      </w:pPr>
      <w:r w:rsidRPr="00FB2871">
        <w:rPr>
          <w:rFonts w:ascii="Arial" w:hAnsi="Arial" w:cs="Arial"/>
          <w:b/>
          <w:bCs/>
          <w:lang w:val="fr-CH"/>
        </w:rPr>
        <w:t>La prévention</w:t>
      </w:r>
      <w:r>
        <w:rPr>
          <w:rFonts w:ascii="Arial" w:hAnsi="Arial" w:cs="Arial"/>
          <w:lang w:val="fr-CH"/>
        </w:rPr>
        <w:t xml:space="preserve"> dans le but d’éviter le principe même de la consommation et de renforcer les compétences individuelles et collectives face à ces différents produits</w:t>
      </w:r>
    </w:p>
    <w:p w14:paraId="5E3FFD5A" w14:textId="77777777" w:rsidR="00FB2871" w:rsidRDefault="00FB2871" w:rsidP="00FB2871">
      <w:pPr>
        <w:pStyle w:val="Paragraphedeliste"/>
        <w:numPr>
          <w:ilvl w:val="0"/>
          <w:numId w:val="2"/>
        </w:numPr>
        <w:spacing w:line="240" w:lineRule="auto"/>
        <w:jc w:val="both"/>
        <w:rPr>
          <w:rFonts w:ascii="Arial" w:hAnsi="Arial" w:cs="Arial"/>
          <w:lang w:val="fr-CH"/>
        </w:rPr>
      </w:pPr>
      <w:r w:rsidRPr="00FB2871">
        <w:rPr>
          <w:rFonts w:ascii="Arial" w:hAnsi="Arial" w:cs="Arial"/>
          <w:b/>
          <w:bCs/>
          <w:lang w:val="fr-CH"/>
        </w:rPr>
        <w:t>Le traitement</w:t>
      </w:r>
      <w:r>
        <w:rPr>
          <w:rFonts w:ascii="Arial" w:hAnsi="Arial" w:cs="Arial"/>
          <w:lang w:val="fr-CH"/>
        </w:rPr>
        <w:t xml:space="preserve"> pour offrir un accompagnement adapté pour retrouver son autonomie en cas d’addiction</w:t>
      </w:r>
    </w:p>
    <w:p w14:paraId="57E73F4F" w14:textId="77777777" w:rsidR="00FB2871" w:rsidRDefault="00FB2871" w:rsidP="00FB2871">
      <w:pPr>
        <w:pStyle w:val="Paragraphedeliste"/>
        <w:numPr>
          <w:ilvl w:val="0"/>
          <w:numId w:val="2"/>
        </w:numPr>
        <w:spacing w:line="240" w:lineRule="auto"/>
        <w:jc w:val="both"/>
        <w:rPr>
          <w:rFonts w:ascii="Arial" w:hAnsi="Arial" w:cs="Arial"/>
          <w:lang w:val="fr-CH"/>
        </w:rPr>
      </w:pPr>
      <w:r w:rsidRPr="00FB2871">
        <w:rPr>
          <w:rFonts w:ascii="Arial" w:hAnsi="Arial" w:cs="Arial"/>
          <w:b/>
          <w:bCs/>
          <w:lang w:val="fr-CH"/>
        </w:rPr>
        <w:t>La réduction des risques</w:t>
      </w:r>
      <w:r>
        <w:rPr>
          <w:rFonts w:ascii="Arial" w:hAnsi="Arial" w:cs="Arial"/>
          <w:lang w:val="fr-CH"/>
        </w:rPr>
        <w:t xml:space="preserve"> (criminalité, propagation de maladies infectieuses, problèmes socio-sanitaires), par des mesures visant à réduire les problèmes liés à l’usage de drogues au lieu de vouloir combattre la drogue elle-même. </w:t>
      </w:r>
    </w:p>
    <w:p w14:paraId="5D749CD4" w14:textId="77777777" w:rsidR="00FB2871" w:rsidRPr="00FB2871" w:rsidRDefault="00FB2871" w:rsidP="00FB2871">
      <w:pPr>
        <w:pStyle w:val="Paragraphedeliste"/>
        <w:numPr>
          <w:ilvl w:val="0"/>
          <w:numId w:val="2"/>
        </w:numPr>
        <w:spacing w:line="240" w:lineRule="auto"/>
        <w:jc w:val="both"/>
        <w:rPr>
          <w:rFonts w:ascii="Arial" w:hAnsi="Arial" w:cs="Arial"/>
          <w:lang w:val="fr-CH"/>
        </w:rPr>
      </w:pPr>
      <w:r w:rsidRPr="00FB2871">
        <w:rPr>
          <w:rFonts w:ascii="Arial" w:hAnsi="Arial" w:cs="Arial"/>
          <w:b/>
          <w:bCs/>
          <w:lang w:val="fr-CH"/>
        </w:rPr>
        <w:t>La répression</w:t>
      </w:r>
      <w:r>
        <w:rPr>
          <w:rFonts w:ascii="Arial" w:hAnsi="Arial" w:cs="Arial"/>
          <w:lang w:val="fr-CH"/>
        </w:rPr>
        <w:t xml:space="preserve">, pour réduire et perturber le marché illégal. </w:t>
      </w:r>
    </w:p>
    <w:p w14:paraId="5DB156C4" w14:textId="77777777" w:rsidR="00FB2871" w:rsidRDefault="00FB2871" w:rsidP="00B06178">
      <w:pPr>
        <w:spacing w:line="240" w:lineRule="auto"/>
        <w:jc w:val="both"/>
        <w:rPr>
          <w:rFonts w:ascii="Arial" w:hAnsi="Arial" w:cs="Arial"/>
          <w:lang w:val="fr-CH"/>
        </w:rPr>
      </w:pPr>
    </w:p>
    <w:p w14:paraId="775A90AA" w14:textId="77777777" w:rsidR="006F17D4" w:rsidRPr="00823693" w:rsidRDefault="00531A22" w:rsidP="00B06178">
      <w:pPr>
        <w:spacing w:line="240" w:lineRule="auto"/>
        <w:jc w:val="both"/>
        <w:rPr>
          <w:rFonts w:ascii="Arial" w:hAnsi="Arial" w:cs="Arial"/>
          <w:u w:val="single"/>
          <w:lang w:val="fr-CH"/>
        </w:rPr>
      </w:pPr>
      <w:r w:rsidRPr="00823693">
        <w:rPr>
          <w:rFonts w:ascii="Arial" w:hAnsi="Arial" w:cs="Arial"/>
          <w:u w:val="single"/>
          <w:lang w:val="fr-CH"/>
        </w:rPr>
        <w:t xml:space="preserve">Stratégie 2017-2024 en matière d’addictions </w:t>
      </w:r>
    </w:p>
    <w:p w14:paraId="686CC670" w14:textId="77777777" w:rsidR="00FB2871" w:rsidRDefault="00531A22" w:rsidP="00B06178">
      <w:pPr>
        <w:spacing w:line="240" w:lineRule="auto"/>
        <w:jc w:val="both"/>
        <w:rPr>
          <w:rFonts w:ascii="Arial" w:hAnsi="Arial" w:cs="Arial"/>
          <w:lang w:val="fr-CH"/>
        </w:rPr>
      </w:pPr>
      <w:r w:rsidRPr="00823693">
        <w:rPr>
          <w:rFonts w:ascii="Arial" w:hAnsi="Arial" w:cs="Arial"/>
          <w:lang w:val="fr-CH"/>
        </w:rPr>
        <w:t xml:space="preserve">Liberté individuelle et choix de vie. </w:t>
      </w:r>
    </w:p>
    <w:p w14:paraId="30059A1E" w14:textId="77777777" w:rsidR="00FB2871" w:rsidRDefault="00531A22" w:rsidP="00B06178">
      <w:pPr>
        <w:spacing w:line="240" w:lineRule="auto"/>
        <w:jc w:val="both"/>
        <w:rPr>
          <w:rFonts w:ascii="Arial" w:hAnsi="Arial" w:cs="Arial"/>
          <w:lang w:val="fr-CH"/>
        </w:rPr>
      </w:pPr>
      <w:r w:rsidRPr="00823693">
        <w:rPr>
          <w:rFonts w:ascii="Arial" w:hAnsi="Arial" w:cs="Arial"/>
          <w:lang w:val="fr-CH"/>
        </w:rPr>
        <w:t xml:space="preserve">Tenir compte cependant de la protection des tiers et de la société. </w:t>
      </w:r>
    </w:p>
    <w:p w14:paraId="61F64C29" w14:textId="77777777" w:rsidR="00FB2871" w:rsidRDefault="00531A22" w:rsidP="00B06178">
      <w:pPr>
        <w:spacing w:line="240" w:lineRule="auto"/>
        <w:jc w:val="both"/>
        <w:rPr>
          <w:rFonts w:ascii="Arial" w:hAnsi="Arial" w:cs="Arial"/>
          <w:lang w:val="fr-CH"/>
        </w:rPr>
      </w:pPr>
      <w:r w:rsidRPr="00823693">
        <w:rPr>
          <w:rFonts w:ascii="Arial" w:hAnsi="Arial" w:cs="Arial"/>
          <w:lang w:val="fr-CH"/>
        </w:rPr>
        <w:t xml:space="preserve">Inclure les usagers au débat et développements. </w:t>
      </w:r>
    </w:p>
    <w:p w14:paraId="40D4A3E0" w14:textId="77777777" w:rsidR="00CC0568" w:rsidRPr="00823693" w:rsidRDefault="00531A22" w:rsidP="00B06178">
      <w:pPr>
        <w:spacing w:line="240" w:lineRule="auto"/>
        <w:jc w:val="both"/>
        <w:rPr>
          <w:rFonts w:ascii="Arial" w:hAnsi="Arial" w:cs="Arial"/>
          <w:lang w:val="fr-CH"/>
        </w:rPr>
      </w:pPr>
      <w:r w:rsidRPr="00823693">
        <w:rPr>
          <w:rFonts w:ascii="Arial" w:hAnsi="Arial" w:cs="Arial"/>
          <w:lang w:val="fr-CH"/>
        </w:rPr>
        <w:t xml:space="preserve">Leadership et des villes et cantons en domaine d’addiction.  </w:t>
      </w:r>
    </w:p>
    <w:p w14:paraId="389FA031" w14:textId="77777777" w:rsidR="001416D0" w:rsidRPr="00823693" w:rsidRDefault="001416D0" w:rsidP="00B06178">
      <w:pPr>
        <w:spacing w:line="240" w:lineRule="auto"/>
        <w:jc w:val="both"/>
        <w:rPr>
          <w:rFonts w:ascii="Arial" w:hAnsi="Arial" w:cs="Arial"/>
          <w:lang w:val="fr-CH"/>
        </w:rPr>
      </w:pPr>
    </w:p>
    <w:p w14:paraId="5ED14D24" w14:textId="77777777" w:rsidR="00FB2871" w:rsidRDefault="00FB2871" w:rsidP="00FB2871">
      <w:pPr>
        <w:spacing w:after="0"/>
        <w:jc w:val="both"/>
        <w:rPr>
          <w:rFonts w:ascii="Arial" w:hAnsi="Arial" w:cs="Arial"/>
          <w:b/>
          <w:bCs/>
        </w:rPr>
      </w:pPr>
      <w:proofErr w:type="spellStart"/>
      <w:r w:rsidRPr="00B36416">
        <w:rPr>
          <w:rFonts w:ascii="Arial" w:hAnsi="Arial" w:cs="Arial"/>
          <w:b/>
          <w:bCs/>
        </w:rPr>
        <w:lastRenderedPageBreak/>
        <w:t>Déclaration</w:t>
      </w:r>
      <w:proofErr w:type="spellEnd"/>
      <w:r w:rsidRPr="00B36416">
        <w:rPr>
          <w:rFonts w:ascii="Arial" w:hAnsi="Arial" w:cs="Arial"/>
          <w:b/>
          <w:bCs/>
        </w:rPr>
        <w:t xml:space="preserve"> </w:t>
      </w:r>
      <w:proofErr w:type="spellStart"/>
      <w:r w:rsidRPr="00B36416">
        <w:rPr>
          <w:rFonts w:ascii="Arial" w:hAnsi="Arial" w:cs="Arial"/>
          <w:b/>
          <w:bCs/>
        </w:rPr>
        <w:t>d’Ascona</w:t>
      </w:r>
      <w:proofErr w:type="spellEnd"/>
      <w:r w:rsidRPr="00B36416">
        <w:rPr>
          <w:rFonts w:ascii="Arial" w:hAnsi="Arial" w:cs="Arial"/>
          <w:b/>
          <w:bCs/>
        </w:rPr>
        <w:t xml:space="preserve"> (2016) </w:t>
      </w:r>
    </w:p>
    <w:p w14:paraId="1E895A03" w14:textId="77777777" w:rsidR="00FB2871" w:rsidRPr="00B36416" w:rsidRDefault="00FB2871" w:rsidP="00FB2871">
      <w:pPr>
        <w:spacing w:after="0"/>
        <w:jc w:val="both"/>
        <w:rPr>
          <w:rFonts w:ascii="Arial" w:hAnsi="Arial" w:cs="Arial"/>
          <w:b/>
          <w:bCs/>
        </w:rPr>
      </w:pPr>
    </w:p>
    <w:p w14:paraId="164EE934" w14:textId="77777777" w:rsidR="00FB2871" w:rsidRPr="00FB2871" w:rsidRDefault="00FB2871" w:rsidP="00FB2871">
      <w:pPr>
        <w:pStyle w:val="Paragraphedeliste"/>
        <w:numPr>
          <w:ilvl w:val="0"/>
          <w:numId w:val="3"/>
        </w:numPr>
        <w:spacing w:after="0" w:line="240" w:lineRule="auto"/>
        <w:jc w:val="both"/>
        <w:rPr>
          <w:rFonts w:ascii="Arial" w:eastAsia="Times New Roman" w:hAnsi="Arial" w:cs="Arial"/>
          <w:lang w:val="fr-CH" w:eastAsia="fr-FR"/>
        </w:rPr>
      </w:pPr>
      <w:r w:rsidRPr="00FB2871">
        <w:rPr>
          <w:rFonts w:ascii="Arial" w:eastAsia="Times New Roman" w:hAnsi="Arial" w:cs="Arial"/>
          <w:lang w:val="fr-CH" w:eastAsia="fr-FR"/>
        </w:rPr>
        <w:t>Une politique moderne des addictions doit se baser sur la réalité et pas sur une vision idéalisée des comportements humains.</w:t>
      </w:r>
    </w:p>
    <w:p w14:paraId="6C5527A3" w14:textId="77777777" w:rsidR="00FB2871" w:rsidRPr="00FB2871" w:rsidRDefault="00FB2871" w:rsidP="00FB2871">
      <w:pPr>
        <w:pStyle w:val="Paragraphedeliste"/>
        <w:spacing w:after="0" w:line="240" w:lineRule="auto"/>
        <w:jc w:val="both"/>
        <w:rPr>
          <w:rFonts w:ascii="Arial" w:eastAsia="Times New Roman" w:hAnsi="Arial" w:cs="Arial"/>
          <w:lang w:val="fr-CH" w:eastAsia="fr-FR"/>
        </w:rPr>
      </w:pPr>
    </w:p>
    <w:p w14:paraId="19DE7774" w14:textId="77777777" w:rsidR="00FB2871" w:rsidRPr="00FB2871" w:rsidRDefault="00FB2871" w:rsidP="00FB2871">
      <w:pPr>
        <w:pStyle w:val="Paragraphedeliste"/>
        <w:numPr>
          <w:ilvl w:val="0"/>
          <w:numId w:val="3"/>
        </w:numPr>
        <w:spacing w:after="0" w:line="240" w:lineRule="auto"/>
        <w:jc w:val="both"/>
        <w:rPr>
          <w:rFonts w:ascii="Arial" w:eastAsia="Times New Roman" w:hAnsi="Arial" w:cs="Arial"/>
          <w:lang w:val="fr-CH" w:eastAsia="fr-FR"/>
        </w:rPr>
      </w:pPr>
      <w:r w:rsidRPr="00FB2871">
        <w:rPr>
          <w:rFonts w:ascii="Arial" w:eastAsia="Times New Roman" w:hAnsi="Arial" w:cs="Arial"/>
          <w:lang w:val="fr-CH" w:eastAsia="fr-FR"/>
        </w:rPr>
        <w:t>Dans une politique moderne des addictions, les adultes ont la liberté de consommer, mais doivent aussi être soutenus si nécessaire, car ils n’ont pas tous les mêmes compétences en matière de consommation.</w:t>
      </w:r>
    </w:p>
    <w:p w14:paraId="06994B86" w14:textId="77777777" w:rsidR="00FB2871" w:rsidRPr="00FB2871" w:rsidRDefault="00FB2871" w:rsidP="00FB2871">
      <w:pPr>
        <w:pStyle w:val="Paragraphedeliste"/>
        <w:jc w:val="both"/>
        <w:rPr>
          <w:rFonts w:ascii="Arial" w:eastAsia="Times New Roman" w:hAnsi="Arial" w:cs="Arial"/>
          <w:lang w:val="fr-CH" w:eastAsia="fr-FR"/>
        </w:rPr>
      </w:pPr>
    </w:p>
    <w:p w14:paraId="41F317DD" w14:textId="77777777" w:rsidR="00FB2871" w:rsidRPr="00FB2871" w:rsidRDefault="00FB2871" w:rsidP="00FB2871">
      <w:pPr>
        <w:pStyle w:val="Paragraphedeliste"/>
        <w:numPr>
          <w:ilvl w:val="0"/>
          <w:numId w:val="3"/>
        </w:numPr>
        <w:spacing w:after="0" w:line="240" w:lineRule="auto"/>
        <w:jc w:val="both"/>
        <w:rPr>
          <w:rFonts w:ascii="Arial" w:eastAsia="Times New Roman" w:hAnsi="Arial" w:cs="Arial"/>
          <w:lang w:val="fr-CH" w:eastAsia="fr-FR"/>
        </w:rPr>
      </w:pPr>
      <w:r w:rsidRPr="00FB2871">
        <w:rPr>
          <w:rFonts w:ascii="Arial" w:eastAsia="Times New Roman" w:hAnsi="Arial" w:cs="Arial"/>
          <w:lang w:val="fr-CH" w:eastAsia="fr-FR"/>
        </w:rPr>
        <w:t>Une politique moderne des addictions inclut toutes les formes de consommation. Elle vise à en réduire les dommages et les formes les plus problématiques, tout en respectant la liberté individuelle et la protection des tiers.</w:t>
      </w:r>
    </w:p>
    <w:p w14:paraId="25E75E5E" w14:textId="77777777" w:rsidR="00FB2871" w:rsidRPr="00FB2871" w:rsidRDefault="00FB2871" w:rsidP="00FB2871">
      <w:pPr>
        <w:pStyle w:val="Paragraphedeliste"/>
        <w:jc w:val="both"/>
        <w:rPr>
          <w:rFonts w:ascii="Arial" w:eastAsia="Times New Roman" w:hAnsi="Arial" w:cs="Arial"/>
          <w:lang w:val="fr-CH" w:eastAsia="fr-FR"/>
        </w:rPr>
      </w:pPr>
    </w:p>
    <w:p w14:paraId="381BF0E6" w14:textId="77777777" w:rsidR="00FB2871" w:rsidRPr="00FB2871" w:rsidRDefault="00FB2871" w:rsidP="00FB2871">
      <w:pPr>
        <w:pStyle w:val="Paragraphedeliste"/>
        <w:numPr>
          <w:ilvl w:val="0"/>
          <w:numId w:val="3"/>
        </w:numPr>
        <w:spacing w:after="0" w:line="240" w:lineRule="auto"/>
        <w:jc w:val="both"/>
        <w:rPr>
          <w:rFonts w:ascii="Arial" w:eastAsia="Times New Roman" w:hAnsi="Arial" w:cs="Arial"/>
          <w:lang w:val="fr-CH" w:eastAsia="fr-FR"/>
        </w:rPr>
      </w:pPr>
      <w:r w:rsidRPr="00FB2871">
        <w:rPr>
          <w:rFonts w:ascii="Arial" w:eastAsia="Times New Roman" w:hAnsi="Arial" w:cs="Arial"/>
          <w:lang w:val="fr-CH" w:eastAsia="fr-FR"/>
        </w:rPr>
        <w:t>Une nouvelle terminologie doit être élaborée pour une politique moderne des «addictions» qui puisse refléter les changements induits par une telle approche et qui puisse intégrer toutes les formes de consommations.</w:t>
      </w:r>
    </w:p>
    <w:p w14:paraId="22F57C9A" w14:textId="77777777" w:rsidR="00FB2871" w:rsidRPr="00FB2871" w:rsidRDefault="00FB2871" w:rsidP="00FB2871">
      <w:pPr>
        <w:pStyle w:val="Paragraphedeliste"/>
        <w:rPr>
          <w:rFonts w:ascii="Arial" w:eastAsia="Times New Roman" w:hAnsi="Arial" w:cs="Arial"/>
          <w:lang w:val="fr-CH" w:eastAsia="fr-FR"/>
        </w:rPr>
      </w:pPr>
    </w:p>
    <w:p w14:paraId="3EB9D9A4" w14:textId="77777777" w:rsidR="00FB2871" w:rsidRPr="00FB2871" w:rsidRDefault="00FB2871" w:rsidP="00FB2871">
      <w:pPr>
        <w:pStyle w:val="Paragraphedeliste"/>
        <w:numPr>
          <w:ilvl w:val="0"/>
          <w:numId w:val="3"/>
        </w:numPr>
        <w:spacing w:after="0" w:line="240" w:lineRule="auto"/>
        <w:jc w:val="both"/>
        <w:rPr>
          <w:rFonts w:ascii="Arial" w:eastAsia="Times New Roman" w:hAnsi="Arial" w:cs="Arial"/>
          <w:lang w:val="fr-CH" w:eastAsia="fr-FR"/>
        </w:rPr>
      </w:pPr>
      <w:r w:rsidRPr="00FB2871">
        <w:rPr>
          <w:rFonts w:ascii="Arial" w:eastAsia="Times New Roman" w:hAnsi="Arial" w:cs="Arial"/>
          <w:lang w:val="fr-CH" w:eastAsia="fr-FR"/>
        </w:rPr>
        <w:t>Les usagers et usagères ont une place centrale dans le développement de la politique moderne des addictions.</w:t>
      </w:r>
    </w:p>
    <w:p w14:paraId="7ADF3D2B" w14:textId="77777777" w:rsidR="00FB2871" w:rsidRPr="00FB2871" w:rsidRDefault="00FB2871" w:rsidP="00FB2871">
      <w:pPr>
        <w:pStyle w:val="Paragraphedeliste"/>
        <w:rPr>
          <w:rFonts w:ascii="Arial" w:eastAsia="Times New Roman" w:hAnsi="Arial" w:cs="Arial"/>
          <w:lang w:val="fr-CH" w:eastAsia="fr-FR"/>
        </w:rPr>
      </w:pPr>
    </w:p>
    <w:p w14:paraId="613A9D98" w14:textId="77777777" w:rsidR="00FB2871" w:rsidRPr="00FB2871" w:rsidRDefault="00FB2871" w:rsidP="00FB2871">
      <w:pPr>
        <w:pStyle w:val="Paragraphedeliste"/>
        <w:numPr>
          <w:ilvl w:val="0"/>
          <w:numId w:val="3"/>
        </w:numPr>
        <w:spacing w:after="0" w:line="240" w:lineRule="auto"/>
        <w:jc w:val="both"/>
        <w:rPr>
          <w:rFonts w:ascii="Arial" w:eastAsia="Times New Roman" w:hAnsi="Arial" w:cs="Arial"/>
          <w:lang w:val="fr-CH" w:eastAsia="fr-FR"/>
        </w:rPr>
      </w:pPr>
      <w:r w:rsidRPr="00FB2871">
        <w:rPr>
          <w:rFonts w:ascii="Arial" w:eastAsia="Times New Roman" w:hAnsi="Arial" w:cs="Arial"/>
          <w:lang w:val="fr-CH" w:eastAsia="fr-FR"/>
        </w:rPr>
        <w:t xml:space="preserve">La société civile, l’opinion publique et une large alliance de toutes les parties prenantes sont intégrées dans la conception d’une politique moderne des addictions. </w:t>
      </w:r>
    </w:p>
    <w:p w14:paraId="20BCBD8B" w14:textId="77777777" w:rsidR="00FB2871" w:rsidRPr="00FB2871" w:rsidRDefault="00FB2871" w:rsidP="00FB2871">
      <w:pPr>
        <w:pStyle w:val="Paragraphedeliste"/>
        <w:rPr>
          <w:rFonts w:ascii="Arial" w:eastAsia="Times New Roman" w:hAnsi="Arial" w:cs="Arial"/>
          <w:lang w:val="fr-CH" w:eastAsia="fr-FR"/>
        </w:rPr>
      </w:pPr>
    </w:p>
    <w:p w14:paraId="03C03180" w14:textId="77777777" w:rsidR="00FB2871" w:rsidRPr="00FB2871" w:rsidRDefault="00FB2871" w:rsidP="00FB2871">
      <w:pPr>
        <w:pStyle w:val="Paragraphedeliste"/>
        <w:numPr>
          <w:ilvl w:val="0"/>
          <w:numId w:val="3"/>
        </w:numPr>
        <w:spacing w:after="0" w:line="240" w:lineRule="auto"/>
        <w:jc w:val="both"/>
        <w:rPr>
          <w:rFonts w:ascii="Arial" w:eastAsia="Times New Roman" w:hAnsi="Arial" w:cs="Arial"/>
          <w:lang w:val="fr-CH" w:eastAsia="fr-FR"/>
        </w:rPr>
      </w:pPr>
      <w:r w:rsidRPr="00FB2871">
        <w:rPr>
          <w:rFonts w:ascii="Arial" w:eastAsia="Times New Roman" w:hAnsi="Arial" w:cs="Arial"/>
          <w:lang w:val="fr-CH" w:eastAsia="fr-FR"/>
        </w:rPr>
        <w:t>Selon les circonstances, les villes et les cantons doivent prendre le leadership pour le développement d’une politique moderne des addictions. Leur objectif est le management du vivre ensemble soit la qualité de vie et le respect des différences.</w:t>
      </w:r>
    </w:p>
    <w:p w14:paraId="7F37B138" w14:textId="77777777" w:rsidR="00FB2871" w:rsidRPr="00FB2871" w:rsidRDefault="00FB2871" w:rsidP="00FB2871">
      <w:pPr>
        <w:pStyle w:val="Paragraphedeliste"/>
        <w:rPr>
          <w:rFonts w:ascii="Arial" w:eastAsia="Times New Roman" w:hAnsi="Arial" w:cs="Arial"/>
          <w:lang w:val="fr-CH" w:eastAsia="fr-FR"/>
        </w:rPr>
      </w:pPr>
    </w:p>
    <w:p w14:paraId="1696BA9D" w14:textId="77777777" w:rsidR="00FB2871" w:rsidRPr="00FB2871" w:rsidRDefault="00FB2871" w:rsidP="00FB2871">
      <w:pPr>
        <w:pStyle w:val="Paragraphedeliste"/>
        <w:numPr>
          <w:ilvl w:val="0"/>
          <w:numId w:val="3"/>
        </w:numPr>
        <w:spacing w:after="0" w:line="240" w:lineRule="auto"/>
        <w:jc w:val="both"/>
        <w:rPr>
          <w:rFonts w:ascii="Arial" w:eastAsia="Times New Roman" w:hAnsi="Arial" w:cs="Arial"/>
          <w:lang w:val="fr-CH" w:eastAsia="fr-FR"/>
        </w:rPr>
      </w:pPr>
      <w:r w:rsidRPr="00FB2871">
        <w:rPr>
          <w:rFonts w:ascii="Arial" w:eastAsia="Times New Roman" w:hAnsi="Arial" w:cs="Arial"/>
          <w:lang w:val="fr-CH" w:eastAsia="fr-FR"/>
        </w:rPr>
        <w:t>Les intérêts entre l’économie et le socio-sanitaire sont différents, mais une collaboration est possible, voire nécessaire. Cette collaboration a un plus grand potentiel avec des petites industries responsables et ancrées dans la communauté.</w:t>
      </w:r>
    </w:p>
    <w:p w14:paraId="2F81E9E2" w14:textId="77777777" w:rsidR="00FB2871" w:rsidRPr="00FB2871" w:rsidRDefault="00FB2871" w:rsidP="00FB2871">
      <w:pPr>
        <w:pStyle w:val="Paragraphedeliste"/>
        <w:rPr>
          <w:rFonts w:ascii="Arial" w:eastAsia="Times New Roman" w:hAnsi="Arial" w:cs="Arial"/>
          <w:lang w:val="fr-CH" w:eastAsia="fr-FR"/>
        </w:rPr>
      </w:pPr>
    </w:p>
    <w:p w14:paraId="25F65C91" w14:textId="77777777" w:rsidR="00FB2871" w:rsidRPr="00FB2871" w:rsidRDefault="00FB2871" w:rsidP="00FB2871">
      <w:pPr>
        <w:pStyle w:val="Paragraphedeliste"/>
        <w:numPr>
          <w:ilvl w:val="0"/>
          <w:numId w:val="3"/>
        </w:numPr>
        <w:spacing w:after="0" w:line="240" w:lineRule="auto"/>
        <w:jc w:val="both"/>
        <w:rPr>
          <w:rFonts w:ascii="Arial" w:eastAsia="Times New Roman" w:hAnsi="Arial" w:cs="Arial"/>
          <w:lang w:val="fr-CH" w:eastAsia="fr-FR"/>
        </w:rPr>
      </w:pPr>
      <w:r w:rsidRPr="00FB2871">
        <w:rPr>
          <w:rFonts w:ascii="Arial" w:eastAsia="Times New Roman" w:hAnsi="Arial" w:cs="Arial"/>
          <w:lang w:val="fr-CH" w:eastAsia="fr-FR"/>
        </w:rPr>
        <w:t xml:space="preserve">Une règlementation de tous les marchés permettra aux consommateurs de participer aux coûts globaux via une taxe sur le prix d’achat. </w:t>
      </w:r>
    </w:p>
    <w:p w14:paraId="7749FBDE" w14:textId="77777777" w:rsidR="00FB2871" w:rsidRPr="00FB2871" w:rsidRDefault="00FB2871" w:rsidP="00FB2871">
      <w:pPr>
        <w:pStyle w:val="Paragraphedeliste"/>
        <w:rPr>
          <w:rFonts w:ascii="Arial" w:eastAsia="Times New Roman" w:hAnsi="Arial" w:cs="Arial"/>
          <w:lang w:val="fr-CH" w:eastAsia="fr-FR"/>
        </w:rPr>
      </w:pPr>
    </w:p>
    <w:p w14:paraId="6C5061A4" w14:textId="77777777" w:rsidR="00FB2871" w:rsidRPr="00FB2871" w:rsidRDefault="00FB2871" w:rsidP="00FB2871">
      <w:pPr>
        <w:pStyle w:val="Paragraphedeliste"/>
        <w:numPr>
          <w:ilvl w:val="0"/>
          <w:numId w:val="3"/>
        </w:numPr>
        <w:spacing w:after="0" w:line="240" w:lineRule="auto"/>
        <w:jc w:val="both"/>
        <w:rPr>
          <w:rFonts w:ascii="Arial" w:eastAsia="Times New Roman" w:hAnsi="Arial" w:cs="Arial"/>
          <w:lang w:val="fr-CH" w:eastAsia="fr-FR"/>
        </w:rPr>
      </w:pPr>
      <w:r w:rsidRPr="00FB2871">
        <w:rPr>
          <w:rFonts w:ascii="Arial" w:eastAsia="Times New Roman" w:hAnsi="Arial" w:cs="Arial"/>
          <w:lang w:val="fr-CH" w:eastAsia="fr-FR"/>
        </w:rPr>
        <w:t>Un espace d’innovation est nécessaire, au-delà des cadres juridiques établis, pour développer de nouvelles offres et pour aller progressivement vers une règlementation cohérente de toutes les substances et marchés.</w:t>
      </w:r>
    </w:p>
    <w:p w14:paraId="62BEC34B" w14:textId="77777777" w:rsidR="00C662E3" w:rsidRPr="00823693" w:rsidRDefault="00C662E3" w:rsidP="00B06178">
      <w:pPr>
        <w:spacing w:line="240" w:lineRule="auto"/>
        <w:jc w:val="both"/>
        <w:rPr>
          <w:rFonts w:ascii="Arial" w:hAnsi="Arial" w:cs="Arial"/>
          <w:lang w:val="fr-CH"/>
        </w:rPr>
      </w:pPr>
    </w:p>
    <w:sectPr w:rsidR="00C662E3" w:rsidRPr="0082369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2ABA2D" w14:textId="77777777" w:rsidR="00CF1E4E" w:rsidRDefault="00CF1E4E" w:rsidP="004A694B">
      <w:pPr>
        <w:spacing w:after="0" w:line="240" w:lineRule="auto"/>
      </w:pPr>
      <w:r>
        <w:separator/>
      </w:r>
    </w:p>
  </w:endnote>
  <w:endnote w:type="continuationSeparator" w:id="0">
    <w:p w14:paraId="6271C4CC" w14:textId="77777777" w:rsidR="00CF1E4E" w:rsidRDefault="00CF1E4E" w:rsidP="004A6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6FF7E" w14:textId="77777777" w:rsidR="00CF1E4E" w:rsidRDefault="00CF1E4E" w:rsidP="004A694B">
      <w:pPr>
        <w:spacing w:after="0" w:line="240" w:lineRule="auto"/>
      </w:pPr>
      <w:r>
        <w:separator/>
      </w:r>
    </w:p>
  </w:footnote>
  <w:footnote w:type="continuationSeparator" w:id="0">
    <w:p w14:paraId="3A32BEE9" w14:textId="77777777" w:rsidR="00CF1E4E" w:rsidRDefault="00CF1E4E" w:rsidP="004A6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D0681" w14:textId="77777777" w:rsidR="004A694B" w:rsidRPr="004A694B" w:rsidRDefault="004A694B" w:rsidP="004A694B">
    <w:pPr>
      <w:pStyle w:val="En-tte"/>
      <w:ind w:left="4820"/>
      <w:jc w:val="right"/>
      <w:rPr>
        <w:rFonts w:ascii="Arial" w:hAnsi="Arial" w:cs="Arial"/>
        <w:sz w:val="20"/>
        <w:szCs w:val="20"/>
        <w:lang w:val="fr-CH"/>
      </w:rPr>
    </w:pPr>
    <w:r w:rsidRPr="004A694B">
      <w:rPr>
        <w:rFonts w:ascii="Arial" w:hAnsi="Arial" w:cs="Arial"/>
        <w:sz w:val="20"/>
        <w:szCs w:val="20"/>
        <w:lang w:val="fr-CH"/>
      </w:rPr>
      <w:t xml:space="preserve">CAS droit des patients et santé publique </w:t>
    </w:r>
  </w:p>
  <w:p w14:paraId="6DDF4612" w14:textId="77777777" w:rsidR="004A694B" w:rsidRPr="003D4F6C" w:rsidRDefault="004A694B" w:rsidP="004A694B">
    <w:pPr>
      <w:pStyle w:val="En-tte"/>
      <w:ind w:left="5664"/>
      <w:jc w:val="right"/>
      <w:rPr>
        <w:rFonts w:ascii="Arial" w:hAnsi="Arial" w:cs="Arial"/>
        <w:sz w:val="20"/>
        <w:szCs w:val="20"/>
      </w:rPr>
    </w:pPr>
    <w:r w:rsidRPr="003D4F6C">
      <w:rPr>
        <w:rFonts w:ascii="Arial" w:hAnsi="Arial" w:cs="Arial"/>
        <w:sz w:val="20"/>
        <w:szCs w:val="20"/>
      </w:rPr>
      <w:t>Oral no 2</w:t>
    </w:r>
  </w:p>
  <w:p w14:paraId="29901E1F" w14:textId="77777777" w:rsidR="004A694B" w:rsidRDefault="004A694B" w:rsidP="004A694B">
    <w:pPr>
      <w:pStyle w:val="En-tte"/>
    </w:pPr>
  </w:p>
  <w:p w14:paraId="18E04F39" w14:textId="77777777" w:rsidR="004A694B" w:rsidRPr="004A694B" w:rsidRDefault="004A694B" w:rsidP="004A694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80F97"/>
    <w:multiLevelType w:val="hybridMultilevel"/>
    <w:tmpl w:val="38706A2C"/>
    <w:lvl w:ilvl="0" w:tplc="D44E31A6">
      <w:start w:val="1"/>
      <w:numFmt w:val="upperRoman"/>
      <w:lvlText w:val="%1."/>
      <w:lvlJc w:val="left"/>
      <w:pPr>
        <w:ind w:left="0" w:hanging="720"/>
      </w:pPr>
      <w:rPr>
        <w:rFonts w:hint="default"/>
      </w:rPr>
    </w:lvl>
    <w:lvl w:ilvl="1" w:tplc="040C0019" w:tentative="1">
      <w:start w:val="1"/>
      <w:numFmt w:val="lowerLetter"/>
      <w:lvlText w:val="%2."/>
      <w:lvlJc w:val="left"/>
      <w:pPr>
        <w:ind w:left="360" w:hanging="360"/>
      </w:pPr>
    </w:lvl>
    <w:lvl w:ilvl="2" w:tplc="040C001B" w:tentative="1">
      <w:start w:val="1"/>
      <w:numFmt w:val="lowerRoman"/>
      <w:lvlText w:val="%3."/>
      <w:lvlJc w:val="right"/>
      <w:pPr>
        <w:ind w:left="1080" w:hanging="180"/>
      </w:pPr>
    </w:lvl>
    <w:lvl w:ilvl="3" w:tplc="040C000F" w:tentative="1">
      <w:start w:val="1"/>
      <w:numFmt w:val="decimal"/>
      <w:lvlText w:val="%4."/>
      <w:lvlJc w:val="left"/>
      <w:pPr>
        <w:ind w:left="1800" w:hanging="360"/>
      </w:pPr>
    </w:lvl>
    <w:lvl w:ilvl="4" w:tplc="040C0019" w:tentative="1">
      <w:start w:val="1"/>
      <w:numFmt w:val="lowerLetter"/>
      <w:lvlText w:val="%5."/>
      <w:lvlJc w:val="left"/>
      <w:pPr>
        <w:ind w:left="2520" w:hanging="360"/>
      </w:pPr>
    </w:lvl>
    <w:lvl w:ilvl="5" w:tplc="040C001B" w:tentative="1">
      <w:start w:val="1"/>
      <w:numFmt w:val="lowerRoman"/>
      <w:lvlText w:val="%6."/>
      <w:lvlJc w:val="right"/>
      <w:pPr>
        <w:ind w:left="3240" w:hanging="180"/>
      </w:pPr>
    </w:lvl>
    <w:lvl w:ilvl="6" w:tplc="040C000F" w:tentative="1">
      <w:start w:val="1"/>
      <w:numFmt w:val="decimal"/>
      <w:lvlText w:val="%7."/>
      <w:lvlJc w:val="left"/>
      <w:pPr>
        <w:ind w:left="3960" w:hanging="360"/>
      </w:pPr>
    </w:lvl>
    <w:lvl w:ilvl="7" w:tplc="040C0019" w:tentative="1">
      <w:start w:val="1"/>
      <w:numFmt w:val="lowerLetter"/>
      <w:lvlText w:val="%8."/>
      <w:lvlJc w:val="left"/>
      <w:pPr>
        <w:ind w:left="4680" w:hanging="360"/>
      </w:pPr>
    </w:lvl>
    <w:lvl w:ilvl="8" w:tplc="040C001B" w:tentative="1">
      <w:start w:val="1"/>
      <w:numFmt w:val="lowerRoman"/>
      <w:lvlText w:val="%9."/>
      <w:lvlJc w:val="right"/>
      <w:pPr>
        <w:ind w:left="5400" w:hanging="180"/>
      </w:pPr>
    </w:lvl>
  </w:abstractNum>
  <w:abstractNum w:abstractNumId="1" w15:restartNumberingAfterBreak="0">
    <w:nsid w:val="1F953DF9"/>
    <w:multiLevelType w:val="hybridMultilevel"/>
    <w:tmpl w:val="D2E8B7E0"/>
    <w:lvl w:ilvl="0" w:tplc="257A047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302A7F11"/>
    <w:multiLevelType w:val="hybridMultilevel"/>
    <w:tmpl w:val="56F6B798"/>
    <w:lvl w:ilvl="0" w:tplc="AD88C8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2B9"/>
    <w:rsid w:val="000D24C5"/>
    <w:rsid w:val="001416D0"/>
    <w:rsid w:val="00245FD0"/>
    <w:rsid w:val="0026799A"/>
    <w:rsid w:val="004A694B"/>
    <w:rsid w:val="00531A22"/>
    <w:rsid w:val="005A1CAE"/>
    <w:rsid w:val="005C3914"/>
    <w:rsid w:val="005C5D9E"/>
    <w:rsid w:val="006B5A9D"/>
    <w:rsid w:val="006F17D4"/>
    <w:rsid w:val="00701292"/>
    <w:rsid w:val="00815B73"/>
    <w:rsid w:val="00823693"/>
    <w:rsid w:val="00881222"/>
    <w:rsid w:val="0097080B"/>
    <w:rsid w:val="009F02B9"/>
    <w:rsid w:val="00A33367"/>
    <w:rsid w:val="00B06178"/>
    <w:rsid w:val="00BD56C3"/>
    <w:rsid w:val="00BE2F46"/>
    <w:rsid w:val="00C01434"/>
    <w:rsid w:val="00C662E3"/>
    <w:rsid w:val="00C85688"/>
    <w:rsid w:val="00CC0568"/>
    <w:rsid w:val="00CE48C8"/>
    <w:rsid w:val="00CF1E4E"/>
    <w:rsid w:val="00DA2D33"/>
    <w:rsid w:val="00DB7A24"/>
    <w:rsid w:val="00DF0C11"/>
    <w:rsid w:val="00E60A80"/>
    <w:rsid w:val="00EA321E"/>
    <w:rsid w:val="00F45F04"/>
    <w:rsid w:val="00FB2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1870C"/>
  <w15:chartTrackingRefBased/>
  <w15:docId w15:val="{0426B354-5EA3-4BC5-A3C2-0D7D14203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A694B"/>
    <w:pPr>
      <w:tabs>
        <w:tab w:val="center" w:pos="4536"/>
        <w:tab w:val="right" w:pos="9072"/>
      </w:tabs>
      <w:spacing w:after="0" w:line="240" w:lineRule="auto"/>
    </w:pPr>
  </w:style>
  <w:style w:type="character" w:customStyle="1" w:styleId="En-tteCar">
    <w:name w:val="En-tête Car"/>
    <w:basedOn w:val="Policepardfaut"/>
    <w:link w:val="En-tte"/>
    <w:uiPriority w:val="99"/>
    <w:rsid w:val="004A694B"/>
  </w:style>
  <w:style w:type="paragraph" w:styleId="Pieddepage">
    <w:name w:val="footer"/>
    <w:basedOn w:val="Normal"/>
    <w:link w:val="PieddepageCar"/>
    <w:uiPriority w:val="99"/>
    <w:unhideWhenUsed/>
    <w:rsid w:val="004A694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A694B"/>
  </w:style>
  <w:style w:type="character" w:styleId="Lienhypertexte">
    <w:name w:val="Hyperlink"/>
    <w:basedOn w:val="Policepardfaut"/>
    <w:uiPriority w:val="99"/>
    <w:unhideWhenUsed/>
    <w:rsid w:val="004A694B"/>
    <w:rPr>
      <w:color w:val="0000FF"/>
      <w:u w:val="single"/>
    </w:rPr>
  </w:style>
  <w:style w:type="character" w:customStyle="1" w:styleId="citation">
    <w:name w:val="citation"/>
    <w:basedOn w:val="Policepardfaut"/>
    <w:rsid w:val="004A694B"/>
  </w:style>
  <w:style w:type="character" w:styleId="Lienhypertextesuivivisit">
    <w:name w:val="FollowedHyperlink"/>
    <w:basedOn w:val="Policepardfaut"/>
    <w:uiPriority w:val="99"/>
    <w:semiHidden/>
    <w:unhideWhenUsed/>
    <w:rsid w:val="004A694B"/>
    <w:rPr>
      <w:color w:val="954F72" w:themeColor="followedHyperlink"/>
      <w:u w:val="single"/>
    </w:rPr>
  </w:style>
  <w:style w:type="paragraph" w:styleId="Paragraphedeliste">
    <w:name w:val="List Paragraph"/>
    <w:basedOn w:val="Normal"/>
    <w:uiPriority w:val="34"/>
    <w:qFormat/>
    <w:rsid w:val="004A69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016478">
      <w:bodyDiv w:val="1"/>
      <w:marLeft w:val="0"/>
      <w:marRight w:val="0"/>
      <w:marTop w:val="0"/>
      <w:marBottom w:val="0"/>
      <w:divBdr>
        <w:top w:val="none" w:sz="0" w:space="0" w:color="auto"/>
        <w:left w:val="none" w:sz="0" w:space="0" w:color="auto"/>
        <w:bottom w:val="none" w:sz="0" w:space="0" w:color="auto"/>
        <w:right w:val="none" w:sz="0" w:space="0" w:color="auto"/>
      </w:divBdr>
    </w:div>
    <w:div w:id="1102648720">
      <w:bodyDiv w:val="1"/>
      <w:marLeft w:val="0"/>
      <w:marRight w:val="0"/>
      <w:marTop w:val="0"/>
      <w:marBottom w:val="0"/>
      <w:divBdr>
        <w:top w:val="none" w:sz="0" w:space="0" w:color="auto"/>
        <w:left w:val="none" w:sz="0" w:space="0" w:color="auto"/>
        <w:bottom w:val="none" w:sz="0" w:space="0" w:color="auto"/>
        <w:right w:val="none" w:sz="0" w:space="0" w:color="auto"/>
      </w:divBdr>
    </w:div>
    <w:div w:id="1574044026">
      <w:bodyDiv w:val="1"/>
      <w:marLeft w:val="0"/>
      <w:marRight w:val="0"/>
      <w:marTop w:val="0"/>
      <w:marBottom w:val="0"/>
      <w:divBdr>
        <w:top w:val="none" w:sz="0" w:space="0" w:color="auto"/>
        <w:left w:val="none" w:sz="0" w:space="0" w:color="auto"/>
        <w:bottom w:val="none" w:sz="0" w:space="0" w:color="auto"/>
        <w:right w:val="none" w:sz="0" w:space="0" w:color="auto"/>
      </w:divBdr>
    </w:div>
    <w:div w:id="180434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A3BBF9F5BB14B8218BE985B7B3A3D" ma:contentTypeVersion="15" ma:contentTypeDescription="Crée un document." ma:contentTypeScope="" ma:versionID="a0eede69cd8cd80a0955c07101999d8e">
  <xsd:schema xmlns:xsd="http://www.w3.org/2001/XMLSchema" xmlns:xs="http://www.w3.org/2001/XMLSchema" xmlns:p="http://schemas.microsoft.com/office/2006/metadata/properties" xmlns:ns2="07104ea7-f245-4466-9c6f-6502bdf82c95" targetNamespace="http://schemas.microsoft.com/office/2006/metadata/properties" ma:root="true" ma:fieldsID="8f54a24f2bc50155ceff6fb6178e3218" ns2:_="">
    <xsd:import namespace="07104ea7-f245-4466-9c6f-6502bdf82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Hub" minOccurs="0"/>
                <xsd:element ref="ns2:Niveau" minOccurs="0"/>
                <xsd:element ref="ns2:Th_x00e8_me" minOccurs="0"/>
                <xsd:element ref="ns2:Loi" minOccurs="0"/>
                <xsd:element ref="ns2:Difficult_x00e9_" minOccurs="0"/>
                <xsd:element ref="ns2:TAG" minOccurs="0"/>
                <xsd:element ref="ns2:Type_1" minOccurs="0"/>
                <xsd:element ref="ns2:Public" minOccurs="0"/>
                <xsd:element ref="ns2:Acc_x00e8_s" minOccurs="0"/>
                <xsd:element ref="ns2:Code_x002f_Loi" minOccurs="0"/>
                <xsd:element ref="ns2:Trousse" minOccurs="0"/>
                <xsd:element ref="ns2:Facult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4ea7-f245-4466-9c6f-6502bdf82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Hub" ma:index="11" nillable="true" ma:displayName="Hub" ma:format="Dropdown" ma:internalName="Hub">
      <xsd:simpleType>
        <xsd:union memberTypes="dms:Text">
          <xsd:simpleType>
            <xsd:restriction base="dms:Choice">
              <xsd:enumeration value="HUB-AFA"/>
              <xsd:enumeration value="HUB - APEA"/>
              <xsd:enumeration value="HUB-Assurances sociales"/>
              <xsd:enumeration value="HUB — CAS I"/>
              <xsd:enumeration value="HUB - CONSENTEMENT"/>
              <xsd:enumeration value="HUB — Droit médical"/>
              <xsd:enumeration value="HUB — Droits des patient·e·s"/>
              <xsd:enumeration value="HUB-EMS"/>
              <xsd:enumeration value="HUB-fin de vie"/>
              <xsd:enumeration value="HUB — Jurisprudence"/>
              <xsd:enumeration value="HUB — Méthodo"/>
              <xsd:enumeration value="HUB-PAFA"/>
              <xsd:enumeration value="HUB-PARACHUTE"/>
              <xsd:enumeration value="HUB-PARAMEDICAL"/>
              <xsd:enumeration value="HUB - PMA"/>
              <xsd:enumeration value="HUB-Ressources"/>
              <xsd:enumeration value="HUB-Responsabilité civile"/>
              <xsd:enumeration value="HUB — Secret médical"/>
            </xsd:restriction>
          </xsd:simpleType>
        </xsd:union>
      </xsd:simpleType>
    </xsd:element>
    <xsd:element name="Niveau" ma:index="12" nillable="true" ma:displayName="Niveau" ma:default="Basique" ma:format="Dropdown" ma:internalName="Niveau">
      <xsd:complexType>
        <xsd:complexContent>
          <xsd:extension base="dms:MultiChoice">
            <xsd:sequence>
              <xsd:element name="Value" maxOccurs="unbounded" minOccurs="0" nillable="true">
                <xsd:simpleType>
                  <xsd:restriction base="dms:Choice">
                    <xsd:enumeration value="Basique"/>
                    <xsd:enumeration value="Moyen"/>
                    <xsd:enumeration value="Difficile"/>
                    <xsd:enumeration value="Diabolique"/>
                    <xsd:enumeration value="Méga diabolique"/>
                  </xsd:restriction>
                </xsd:simpleType>
              </xsd:element>
            </xsd:sequence>
          </xsd:extension>
        </xsd:complexContent>
      </xsd:complexType>
    </xsd:element>
    <xsd:element name="Th_x00e8_me" ma:index="13" nillable="true" ma:displayName="Thème" ma:description="Thèmes" ma:format="Dropdown" ma:internalName="Th_x00e8_me">
      <xsd:simpleType>
        <xsd:restriction base="dms:Choice">
          <xsd:enumeration value="Assurances sociales"/>
          <xsd:enumeration value="Civil"/>
          <xsd:enumeration value="Consentement"/>
          <xsd:enumeration value="Constitution &amp; droits fondamentaux"/>
          <xsd:enumeration value="Contrats &amp; obligations"/>
          <xsd:enumeration value="Dossier médical &amp; droit d’accès"/>
          <xsd:enumeration value="Droit médical"/>
          <xsd:enumeration value="Droits des patient·e·s"/>
          <xsd:enumeration value="Droit public"/>
          <xsd:enumeration value="Ethique"/>
          <xsd:enumeration value="Famille &amp; filiation (PMA incluse)"/>
          <xsd:enumeration value="Fin de vie"/>
          <xsd:enumeration value="Français"/>
          <xsd:enumeration value="Institutions &amp; responsabilités pro (délégation, hiérarchie, auxiliaires, plainte/erreur)"/>
          <xsd:enumeration value="Intro"/>
          <xsd:enumeration value="Loi cantonale"/>
          <xsd:enumeration value="Méthodo"/>
          <xsd:enumeration value="Pénal"/>
          <xsd:enumeration value="Preuve &amp; documentation"/>
          <xsd:enumeration value="Procédure civile"/>
          <xsd:enumeration value="Procédure pénale"/>
          <xsd:enumeration value="Protection de l’adulte &amp; de l’enfant (APEA / PAFA)"/>
          <xsd:enumeration value="Responsabilité civile"/>
          <xsd:enumeration value="Responsabilité médicale"/>
          <xsd:enumeration value="Secret médical &amp; données"/>
          <xsd:enumeration value="Suite office"/>
          <xsd:enumeration value="Terminologie juridique"/>
          <xsd:enumeration value="Terminologie médicale"/>
        </xsd:restriction>
      </xsd:simpleType>
    </xsd:element>
    <xsd:element name="Loi" ma:index="14" nillable="true" ma:displayName="Loi" ma:description="Loi ou code concerné" ma:format="Dropdown" ma:internalName="Loi">
      <xsd:simpleType>
        <xsd:union memberTypes="dms:Text">
          <xsd:simpleType>
            <xsd:restriction base="dms:Choice">
              <xsd:enumeration value="CC"/>
              <xsd:enumeration value="CO"/>
              <xsd:enumeration value="CP"/>
              <xsd:enumeration value="CPC"/>
              <xsd:enumeration value="CPP"/>
              <xsd:enumeration value="CST"/>
              <xsd:enumeration value="LPD"/>
              <xsd:enumeration value="LAMal"/>
              <xsd:enumeration value="LAA"/>
              <xsd:enumeration value="AI"/>
              <xsd:enumeration value="LPGA"/>
              <xsd:enumeration value="APG"/>
              <xsd:enumeration value="LCA"/>
              <xsd:enumeration value="OAMal"/>
              <xsd:enumeration value="LHand"/>
            </xsd:restriction>
          </xsd:simpleType>
        </xsd:union>
      </xsd:simpleType>
    </xsd:element>
    <xsd:element name="Difficult_x00e9_" ma:index="15" nillable="true" ma:displayName="Difficulté" ma:description="niveau de difficulté" ma:format="Dropdown" ma:internalName="Difficult_x00e9_">
      <xsd:simpleType>
        <xsd:union memberTypes="dms:Text">
          <xsd:simpleType>
            <xsd:restriction base="dms:Choice">
              <xsd:enumeration value="Standard"/>
              <xsd:enumeration value="Moyen"/>
              <xsd:enumeration value="Difficile"/>
              <xsd:enumeration value="Difficile+"/>
              <xsd:enumeration value="Diabolique"/>
              <xsd:enumeration value="Méga diabolique"/>
            </xsd:restriction>
          </xsd:simpleType>
        </xsd:union>
      </xsd:simpleType>
    </xsd:element>
    <xsd:element name="TAG" ma:index="16" nillable="true" ma:displayName="TAGS" ma:format="Dropdown" ma:internalName="TAG">
      <xsd:simpleType>
        <xsd:restriction base="dms:Choice">
          <xsd:enumeration value="Accès aux soins"/>
          <xsd:enumeration value="Accident"/>
          <xsd:enumeration value="Annexe 1"/>
          <xsd:enumeration value="Assimilées"/>
          <xsd:enumeration value="Bases"/>
          <xsd:enumeration value="Checklist_Trap"/>
          <xsd:enumeration value="Chronologie"/>
          <xsd:enumeration value="Citer"/>
          <xsd:enumeration value="Discrimination"/>
          <xsd:enumeration value="Droits humains"/>
          <xsd:enumeration value="Consentement_Trap"/>
          <xsd:enumeration value="Coordination"/>
          <xsd:enumeration value="Exam_Trap"/>
          <xsd:enumeration value="Exos"/>
          <xsd:enumeration value="Exposition"/>
          <xsd:enumeration value="Faux_ami"/>
          <xsd:enumeration value="Fedlex"/>
          <xsd:enumeration value="FDS"/>
          <xsd:enumeration value="Handicap"/>
          <xsd:enumeration value="Hôpital"/>
          <xsd:enumeration value="Hors liste"/>
          <xsd:enumeration value="Liste"/>
          <xsd:enumeration value="Maladie"/>
          <xsd:enumeration value="Maladie pro"/>
          <xsd:enumeration value="Migration"/>
          <xsd:enumeration value="OLAA"/>
          <xsd:enumeration value="Piège"/>
          <xsd:enumeration value="Preuve_Trap"/>
          <xsd:enumeration value="Procedure_Trap"/>
          <xsd:enumeration value="Provisoire"/>
          <xsd:enumeration value="QCM"/>
          <xsd:enumeration value="Remboursement"/>
          <xsd:enumeration value="Resp_Trap"/>
          <xsd:enumeration value="Santé publique"/>
          <xsd:enumeration value="Tri"/>
          <xsd:enumeration value="Twist"/>
          <xsd:enumeration value="Usure"/>
        </xsd:restriction>
      </xsd:simpleType>
    </xsd:element>
    <xsd:element name="Type_1" ma:index="17" nillable="true" ma:displayName="Types" ma:default="FP" ma:description="types de ressources" ma:format="Dropdown" ma:internalName="Type_1">
      <xsd:simpleType>
        <xsd:restriction base="dms:Choice">
          <xsd:enumeration value="ARB"/>
          <xsd:enumeration value="CAN"/>
          <xsd:enumeration value="CAP"/>
          <xsd:enumeration value="CP"/>
          <xsd:enumeration value="CJX"/>
          <xsd:enumeration value="CM"/>
          <xsd:enumeration value="COR"/>
          <xsd:enumeration value="EXO"/>
          <xsd:enumeration value="FP"/>
          <xsd:enumeration value="FPED"/>
          <xsd:enumeration value="FMET"/>
          <xsd:enumeration value="FREX"/>
          <xsd:enumeration value="FS"/>
          <xsd:enumeration value="GP"/>
          <xsd:enumeration value="HUB"/>
          <xsd:enumeration value="MOD"/>
          <xsd:enumeration value="QCM"/>
          <xsd:enumeration value="SENT"/>
          <xsd:enumeration value="TAB"/>
          <xsd:enumeration value="TROU"/>
        </xsd:restriction>
      </xsd:simpleType>
    </xsd:element>
    <xsd:element name="Public" ma:index="18" nillable="true" ma:displayName="Public" ma:default="TEAM" ma:description="public cible" ma:format="Dropdown" ma:internalName="Public">
      <xsd:simpleType>
        <xsd:restriction base="dms:Choice">
          <xsd:enumeration value="ADM"/>
          <xsd:enumeration value="ETU"/>
          <xsd:enumeration value="JUR"/>
          <xsd:enumeration value="MED"/>
          <xsd:enumeration value="MTECH"/>
          <xsd:enumeration value="MTHER"/>
          <xsd:enumeration value="PARA"/>
          <xsd:enumeration value="TEAM"/>
        </xsd:restriction>
      </xsd:simpleType>
    </xsd:element>
    <xsd:element name="Acc_x00e8_s" ma:index="19" nillable="true" ma:displayName="Accès" ma:default="Public" ma:format="Dropdown" ma:internalName="Acc_x00e8_s">
      <xsd:simpleType>
        <xsd:restriction base="dms:Choice">
          <xsd:enumeration value="Public"/>
          <xsd:enumeration value="Premium"/>
        </xsd:restriction>
      </xsd:simpleType>
    </xsd:element>
    <xsd:element name="Code_x002f_Loi" ma:index="20" nillable="true" ma:displayName="Code /Loi" ma:description="Codes, lois, ordonnances et règlements" ma:format="Dropdown" ma:internalName="Code_x002f_Loi">
      <xsd:simpleType>
        <xsd:restriction base="dms:Choice">
          <xsd:enumeration value="AI"/>
          <xsd:enumeration value="APG"/>
          <xsd:enumeration value="CC"/>
          <xsd:enumeration value="CO"/>
          <xsd:enumeration value="CP"/>
          <xsd:enumeration value="CPC"/>
          <xsd:enumeration value="CPP"/>
          <xsd:enumeration value="CST"/>
          <xsd:enumeration value="LAA"/>
          <xsd:enumeration value="LAFAM"/>
          <xsd:enumeration value="LAM"/>
          <xsd:enumeration value="LAMal"/>
          <xsd:enumeration value="LAPG"/>
          <xsd:enumeration value="LAVI"/>
          <xsd:enumeration value="LCA"/>
          <xsd:enumeration value="LDEP"/>
          <xsd:enumeration value="LEMO"/>
          <xsd:enumeration value="LHand"/>
          <xsd:enumeration value="LPC"/>
          <xsd:enumeration value="LPD"/>
          <xsd:enumeration value="LPGA"/>
          <xsd:enumeration value="LPMed"/>
          <xsd:enumeration value="Lstup"/>
          <xsd:enumeration value="LPSan"/>
          <xsd:enumeration value="OCPSan"/>
          <xsd:enumeration value="LPMA"/>
          <xsd:enumeration value="LPTh"/>
          <xsd:enumeration value="Loi sur la transplantation"/>
          <xsd:enumeration value="LSAMal"/>
          <xsd:enumeration value="OAMal"/>
          <xsd:enumeration value="OCStup"/>
          <xsd:enumeration value="ODEP"/>
          <xsd:enumeration value="OLAA"/>
          <xsd:enumeration value="OMAA"/>
          <xsd:enumeration value="OMAV"/>
          <xsd:enumeration value="OPAS"/>
          <xsd:enumeration value="OPGA"/>
          <xsd:enumeration value="ORe-DFI"/>
          <xsd:enumeration value="ORPSan"/>
          <xsd:enumeration value="RAI"/>
          <xsd:enumeration value="Choix 40"/>
        </xsd:restriction>
      </xsd:simpleType>
    </xsd:element>
    <xsd:element name="Trousse" ma:index="21" nillable="true" ma:displayName="Trousse" ma:description="Trousses" ma:format="Dropdown" ma:internalName="Trousse">
      <xsd:simpleType>
        <xsd:restriction base="dms:Choice">
          <xsd:enumeration value="CAS_I"/>
          <xsd:enumeration value="Corrigés"/>
          <xsd:enumeration value="Découverte"/>
          <xsd:enumeration value="Entraînement"/>
          <xsd:enumeration value="Examen"/>
          <xsd:enumeration value="Expert"/>
          <xsd:enumeration value="Premium"/>
          <xsd:enumeration value="Standard"/>
          <xsd:enumeration value="Thématique"/>
        </xsd:restriction>
      </xsd:simpleType>
    </xsd:element>
    <xsd:element name="Facult_x00e9_" ma:index="22" nillable="true" ma:displayName="Faculté" ma:format="Dropdown" ma:internalName="Facult_x00e9_">
      <xsd:simpleType>
        <xsd:union memberTypes="dms:Text">
          <xsd:simpleType>
            <xsd:restriction base="dms:Choice">
              <xsd:enumeration value="ASSC"/>
              <xsd:enumeration value="Soins infirmiers"/>
              <xsd:enumeration value="Médecine"/>
              <xsd:enumeration value="Paramédicale"/>
              <xsd:enumeration value="Droit"/>
              <xsd:enumeration value="Patients &amp; proches"/>
              <xsd:enumeration value="Administration &amp; Management"/>
              <xsd:enumeration value="Formation continu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_x00e8_me xmlns="07104ea7-f245-4466-9c6f-6502bdf82c95">Protection de l’adulte &amp; de l’enfant (APEA / PAFA)</Th_x00e8_me>
    <Hub xmlns="07104ea7-f245-4466-9c6f-6502bdf82c95">HUB — CAS I</Hub>
    <Niveau xmlns="07104ea7-f245-4466-9c6f-6502bdf82c95">
      <Value>Basique</Value>
    </Niveau>
    <Difficult_x00e9_ xmlns="07104ea7-f245-4466-9c6f-6502bdf82c95" xsi:nil="true"/>
    <Loi xmlns="07104ea7-f245-4466-9c6f-6502bdf82c95" xsi:nil="true"/>
    <TAG xmlns="07104ea7-f245-4466-9c6f-6502bdf82c95" xsi:nil="true"/>
    <Type_1 xmlns="07104ea7-f245-4466-9c6f-6502bdf82c95">CJX</Type_1>
    <Code_x002f_Loi xmlns="07104ea7-f245-4466-9c6f-6502bdf82c95" xsi:nil="true"/>
    <Acc_x00e8_s xmlns="07104ea7-f245-4466-9c6f-6502bdf82c95">Public</Acc_x00e8_s>
    <Public xmlns="07104ea7-f245-4466-9c6f-6502bdf82c95">TEAM</Public>
    <Trousse xmlns="07104ea7-f245-4466-9c6f-6502bdf82c95">CAS_I</Trousse>
    <Facult_x00e9_ xmlns="07104ea7-f245-4466-9c6f-6502bdf82c95" xsi:nil="true"/>
  </documentManagement>
</p:properties>
</file>

<file path=customXml/itemProps1.xml><?xml version="1.0" encoding="utf-8"?>
<ds:datastoreItem xmlns:ds="http://schemas.openxmlformats.org/officeDocument/2006/customXml" ds:itemID="{11BA81DB-1A90-4A7B-BA9E-5FF2360DB426}"/>
</file>

<file path=customXml/itemProps2.xml><?xml version="1.0" encoding="utf-8"?>
<ds:datastoreItem xmlns:ds="http://schemas.openxmlformats.org/officeDocument/2006/customXml" ds:itemID="{A34F3BA2-6EAF-4ADD-A10B-2043A76B5B24}"/>
</file>

<file path=customXml/itemProps3.xml><?xml version="1.0" encoding="utf-8"?>
<ds:datastoreItem xmlns:ds="http://schemas.openxmlformats.org/officeDocument/2006/customXml" ds:itemID="{50523E14-96A4-4E29-B279-C0CD76EF1B11}"/>
</file>

<file path=docProps/app.xml><?xml version="1.0" encoding="utf-8"?>
<Properties xmlns="http://schemas.openxmlformats.org/officeDocument/2006/extended-properties" xmlns:vt="http://schemas.openxmlformats.org/officeDocument/2006/docPropsVTypes">
  <Template>Normal.dotm</Template>
  <TotalTime>51</TotalTime>
  <Pages>4</Pages>
  <Words>1252</Words>
  <Characters>6887</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Barbosa Héliographie</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Haunreiter Katja</cp:lastModifiedBy>
  <cp:revision>12</cp:revision>
  <dcterms:created xsi:type="dcterms:W3CDTF">2021-01-08T15:03:00Z</dcterms:created>
  <dcterms:modified xsi:type="dcterms:W3CDTF">2021-01-19T13:15:00Z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0x01010009FA3BBF9F5BB14B8218BE985B7B3A3D</vt:lpwstr>
  </property>
</Properties>
</file>