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9583" w14:textId="5E57ECC3" w:rsidR="00CC6457" w:rsidRPr="00A33B6C" w:rsidRDefault="00CC6457" w:rsidP="00A33B6C">
      <w:pPr>
        <w:rPr>
          <w:rFonts w:cs="Arial"/>
          <w:b/>
          <w:bCs/>
          <w:caps/>
          <w:sz w:val="22"/>
        </w:rPr>
      </w:pPr>
      <w:r w:rsidRPr="00A33B6C">
        <w:rPr>
          <w:rFonts w:cs="Arial"/>
          <w:b/>
          <w:bCs/>
          <w:caps/>
          <w:sz w:val="22"/>
        </w:rPr>
        <w:t>Droit et politique de transplantation</w:t>
      </w:r>
    </w:p>
    <w:p w14:paraId="0A52A187" w14:textId="77777777" w:rsidR="00CC6457" w:rsidRPr="00A33B6C" w:rsidRDefault="00CC6457" w:rsidP="00A33B6C">
      <w:pPr>
        <w:rPr>
          <w:rFonts w:cs="Arial"/>
          <w:b/>
          <w:bCs/>
          <w:caps/>
          <w:sz w:val="22"/>
        </w:rPr>
      </w:pPr>
    </w:p>
    <w:p w14:paraId="1F0B70D7" w14:textId="09B739A7" w:rsidR="00CC6457" w:rsidRPr="00A33B6C" w:rsidRDefault="00CC6457" w:rsidP="00A33B6C">
      <w:pPr>
        <w:pBdr>
          <w:bottom w:val="single" w:sz="12" w:space="1" w:color="auto"/>
        </w:pBdr>
        <w:rPr>
          <w:rFonts w:cs="Arial"/>
          <w:b/>
          <w:bCs/>
          <w:smallCaps/>
          <w:sz w:val="22"/>
        </w:rPr>
      </w:pPr>
      <w:r w:rsidRPr="00A33B6C">
        <w:rPr>
          <w:rFonts w:cs="Arial"/>
          <w:b/>
          <w:bCs/>
          <w:smallCaps/>
          <w:sz w:val="22"/>
        </w:rPr>
        <w:t xml:space="preserve">dans quelles conditions un prélèvement d’organes sur une personne décédée peut-elle avoir lieu en Suisse ? Quelles démarches législatives sont actuellement en cours dans ce domaine ? </w:t>
      </w:r>
    </w:p>
    <w:p w14:paraId="14F4B5CF" w14:textId="3E47616D" w:rsidR="00CC6457" w:rsidRPr="00A33B6C" w:rsidRDefault="00CC6457" w:rsidP="00A33B6C">
      <w:pPr>
        <w:rPr>
          <w:rFonts w:cs="Arial"/>
          <w:b/>
          <w:bCs/>
          <w:smallCaps/>
          <w:sz w:val="22"/>
        </w:rPr>
      </w:pPr>
    </w:p>
    <w:p w14:paraId="53715F79" w14:textId="66795D48" w:rsidR="00A7316C" w:rsidRPr="00A33B6C" w:rsidRDefault="00A7316C" w:rsidP="00A33B6C">
      <w:pPr>
        <w:rPr>
          <w:rFonts w:cs="Arial"/>
          <w:b/>
          <w:bCs/>
          <w:smallCaps/>
          <w:sz w:val="22"/>
        </w:rPr>
      </w:pPr>
    </w:p>
    <w:p w14:paraId="626EBF6D" w14:textId="760F1308" w:rsidR="00A7316C" w:rsidRPr="00A33B6C" w:rsidRDefault="00A7316C" w:rsidP="00A33B6C">
      <w:pPr>
        <w:pStyle w:val="Paragraphedeliste"/>
        <w:numPr>
          <w:ilvl w:val="0"/>
          <w:numId w:val="22"/>
        </w:numPr>
        <w:rPr>
          <w:rFonts w:cs="Arial"/>
          <w:b/>
          <w:bCs/>
          <w:sz w:val="22"/>
        </w:rPr>
      </w:pPr>
      <w:r w:rsidRPr="00A33B6C">
        <w:rPr>
          <w:rFonts w:cs="Arial"/>
          <w:b/>
          <w:bCs/>
          <w:sz w:val="22"/>
        </w:rPr>
        <w:t>Base constitutionnelle</w:t>
      </w:r>
    </w:p>
    <w:p w14:paraId="3B5A153D" w14:textId="77777777" w:rsidR="00A7316C" w:rsidRPr="00A33B6C" w:rsidRDefault="00A7316C" w:rsidP="00A33B6C">
      <w:pPr>
        <w:rPr>
          <w:rFonts w:cs="Arial"/>
          <w:sz w:val="22"/>
        </w:rPr>
      </w:pPr>
    </w:p>
    <w:p w14:paraId="6080A965" w14:textId="18933541" w:rsidR="00C44A7B" w:rsidRPr="00A33B6C" w:rsidRDefault="00657A02" w:rsidP="00A33B6C">
      <w:pPr>
        <w:rPr>
          <w:rFonts w:cs="Arial"/>
          <w:sz w:val="22"/>
        </w:rPr>
      </w:pPr>
      <w:r w:rsidRPr="00A33B6C">
        <w:rPr>
          <w:rFonts w:cs="Arial"/>
          <w:sz w:val="22"/>
        </w:rPr>
        <w:t xml:space="preserve">La loi sur la transplantation d’organes, de tissus et de cellules (loi sur la transplantation, RS 810.21) repose sur l’art. 119a </w:t>
      </w:r>
      <w:proofErr w:type="spellStart"/>
      <w:r w:rsidRPr="00A33B6C">
        <w:rPr>
          <w:rFonts w:cs="Arial"/>
          <w:sz w:val="22"/>
        </w:rPr>
        <w:t>Cst</w:t>
      </w:r>
      <w:proofErr w:type="spellEnd"/>
      <w:r w:rsidRPr="00A33B6C">
        <w:rPr>
          <w:rFonts w:cs="Arial"/>
          <w:sz w:val="22"/>
        </w:rPr>
        <w:t xml:space="preserve">, dont la teneur est la suivante : </w:t>
      </w:r>
    </w:p>
    <w:p w14:paraId="388E0847" w14:textId="0B8DF9A1" w:rsidR="00657A02" w:rsidRPr="00A33B6C" w:rsidRDefault="00657A02" w:rsidP="00A33B6C">
      <w:pPr>
        <w:rPr>
          <w:rFonts w:cs="Arial"/>
          <w:sz w:val="22"/>
          <w:lang w:val="fr-CH"/>
        </w:rPr>
      </w:pPr>
    </w:p>
    <w:p w14:paraId="0B76D024" w14:textId="77777777" w:rsidR="00657A02" w:rsidRPr="00A33B6C" w:rsidRDefault="00657A02" w:rsidP="00A33B6C">
      <w:pPr>
        <w:pStyle w:val="NormalWeb"/>
        <w:numPr>
          <w:ilvl w:val="0"/>
          <w:numId w:val="20"/>
        </w:numPr>
        <w:jc w:val="both"/>
        <w:rPr>
          <w:rFonts w:ascii="Arial" w:hAnsi="Arial" w:cs="Arial"/>
          <w:i/>
          <w:iCs/>
          <w:sz w:val="22"/>
          <w:szCs w:val="22"/>
        </w:rPr>
      </w:pPr>
      <w:r w:rsidRPr="00A33B6C">
        <w:rPr>
          <w:rFonts w:ascii="Arial" w:hAnsi="Arial" w:cs="Arial"/>
          <w:i/>
          <w:iCs/>
          <w:sz w:val="22"/>
          <w:szCs w:val="22"/>
        </w:rPr>
        <w:t xml:space="preserve">La Confédération édicte des dispositions dans le domaine de la transplantation d’organes, de tissus et de cellules. Ce faisant, elle veille à assurer la </w:t>
      </w:r>
      <w:r w:rsidRPr="00A33B6C">
        <w:rPr>
          <w:rFonts w:ascii="Arial" w:hAnsi="Arial" w:cs="Arial"/>
          <w:b/>
          <w:bCs/>
          <w:i/>
          <w:iCs/>
          <w:sz w:val="22"/>
          <w:szCs w:val="22"/>
        </w:rPr>
        <w:t>protection de la dignité humaine, de la personnalité et de la santé</w:t>
      </w:r>
      <w:r w:rsidRPr="00A33B6C">
        <w:rPr>
          <w:rFonts w:ascii="Arial" w:hAnsi="Arial" w:cs="Arial"/>
          <w:i/>
          <w:iCs/>
          <w:sz w:val="22"/>
          <w:szCs w:val="22"/>
        </w:rPr>
        <w:t>.</w:t>
      </w:r>
    </w:p>
    <w:p w14:paraId="566FD3BA" w14:textId="77777777" w:rsidR="00657A02" w:rsidRPr="00A33B6C" w:rsidRDefault="00657A02" w:rsidP="00A33B6C">
      <w:pPr>
        <w:pStyle w:val="NormalWeb"/>
        <w:numPr>
          <w:ilvl w:val="0"/>
          <w:numId w:val="20"/>
        </w:numPr>
        <w:jc w:val="both"/>
        <w:rPr>
          <w:rFonts w:ascii="Arial" w:hAnsi="Arial" w:cs="Arial"/>
          <w:i/>
          <w:iCs/>
          <w:sz w:val="22"/>
          <w:szCs w:val="22"/>
        </w:rPr>
      </w:pPr>
      <w:r w:rsidRPr="00A33B6C">
        <w:rPr>
          <w:rFonts w:ascii="Arial" w:hAnsi="Arial" w:cs="Arial"/>
          <w:i/>
          <w:iCs/>
          <w:sz w:val="22"/>
          <w:szCs w:val="22"/>
        </w:rPr>
        <w:t xml:space="preserve">Elle veille à une </w:t>
      </w:r>
      <w:r w:rsidRPr="00A33B6C">
        <w:rPr>
          <w:rFonts w:ascii="Arial" w:hAnsi="Arial" w:cs="Arial"/>
          <w:b/>
          <w:bCs/>
          <w:i/>
          <w:iCs/>
          <w:sz w:val="22"/>
          <w:szCs w:val="22"/>
        </w:rPr>
        <w:t>répartition équitable</w:t>
      </w:r>
      <w:r w:rsidRPr="00A33B6C">
        <w:rPr>
          <w:rFonts w:ascii="Arial" w:hAnsi="Arial" w:cs="Arial"/>
          <w:i/>
          <w:iCs/>
          <w:sz w:val="22"/>
          <w:szCs w:val="22"/>
        </w:rPr>
        <w:t xml:space="preserve"> des organes.</w:t>
      </w:r>
    </w:p>
    <w:p w14:paraId="53EBA9C7" w14:textId="48469285" w:rsidR="00657A02" w:rsidRPr="00A33B6C" w:rsidRDefault="00657A02" w:rsidP="00A33B6C">
      <w:pPr>
        <w:pStyle w:val="NormalWeb"/>
        <w:numPr>
          <w:ilvl w:val="0"/>
          <w:numId w:val="20"/>
        </w:numPr>
        <w:jc w:val="both"/>
        <w:rPr>
          <w:rFonts w:ascii="Arial" w:hAnsi="Arial" w:cs="Arial"/>
          <w:i/>
          <w:iCs/>
          <w:sz w:val="22"/>
          <w:szCs w:val="22"/>
        </w:rPr>
      </w:pPr>
      <w:r w:rsidRPr="00A33B6C">
        <w:rPr>
          <w:rFonts w:ascii="Arial" w:hAnsi="Arial" w:cs="Arial"/>
          <w:i/>
          <w:iCs/>
          <w:sz w:val="22"/>
          <w:szCs w:val="22"/>
        </w:rPr>
        <w:t xml:space="preserve">Le don d’organes, de tissus et de cellules humains est </w:t>
      </w:r>
      <w:r w:rsidRPr="00A33B6C">
        <w:rPr>
          <w:rFonts w:ascii="Arial" w:hAnsi="Arial" w:cs="Arial"/>
          <w:b/>
          <w:bCs/>
          <w:i/>
          <w:iCs/>
          <w:sz w:val="22"/>
          <w:szCs w:val="22"/>
        </w:rPr>
        <w:t>gratuit</w:t>
      </w:r>
      <w:r w:rsidRPr="00A33B6C">
        <w:rPr>
          <w:rFonts w:ascii="Arial" w:hAnsi="Arial" w:cs="Arial"/>
          <w:i/>
          <w:iCs/>
          <w:sz w:val="22"/>
          <w:szCs w:val="22"/>
        </w:rPr>
        <w:t>. Le commerce d’organes humains est interdit.</w:t>
      </w:r>
    </w:p>
    <w:p w14:paraId="406A04CF" w14:textId="77777777" w:rsidR="00A7316C" w:rsidRPr="00A33B6C" w:rsidRDefault="00A7316C" w:rsidP="00A33B6C">
      <w:pPr>
        <w:pStyle w:val="Paragraphedeliste"/>
        <w:ind w:left="0"/>
        <w:rPr>
          <w:rFonts w:cs="Arial"/>
          <w:b/>
          <w:bCs/>
          <w:sz w:val="22"/>
        </w:rPr>
      </w:pPr>
    </w:p>
    <w:p w14:paraId="5F8802CA" w14:textId="7298D130" w:rsidR="00525EF4" w:rsidRPr="00A33B6C" w:rsidRDefault="00A7316C" w:rsidP="00A33B6C">
      <w:pPr>
        <w:pStyle w:val="Paragraphedeliste"/>
        <w:numPr>
          <w:ilvl w:val="0"/>
          <w:numId w:val="22"/>
        </w:numPr>
        <w:rPr>
          <w:rFonts w:cs="Arial"/>
          <w:b/>
          <w:bCs/>
          <w:sz w:val="22"/>
        </w:rPr>
      </w:pPr>
      <w:r w:rsidRPr="00A33B6C">
        <w:rPr>
          <w:rFonts w:cs="Arial"/>
          <w:b/>
          <w:bCs/>
          <w:sz w:val="22"/>
        </w:rPr>
        <w:t>Conditions (art. 8 loi sur la transplantation)</w:t>
      </w:r>
    </w:p>
    <w:p w14:paraId="2C71C6AC" w14:textId="77777777" w:rsidR="00A7316C" w:rsidRPr="00A33B6C" w:rsidRDefault="00A7316C" w:rsidP="00A33B6C">
      <w:pPr>
        <w:pStyle w:val="Paragraphedeliste"/>
        <w:ind w:left="0"/>
        <w:rPr>
          <w:rFonts w:cs="Arial"/>
          <w:sz w:val="22"/>
        </w:rPr>
      </w:pPr>
    </w:p>
    <w:p w14:paraId="1F59690C" w14:textId="37750366" w:rsidR="00972638" w:rsidRPr="00A33B6C" w:rsidRDefault="00A7316C" w:rsidP="00A33B6C">
      <w:pPr>
        <w:pStyle w:val="Paragraphedeliste"/>
        <w:numPr>
          <w:ilvl w:val="0"/>
          <w:numId w:val="23"/>
        </w:numPr>
        <w:rPr>
          <w:rFonts w:cs="Arial"/>
          <w:sz w:val="22"/>
        </w:rPr>
      </w:pPr>
      <w:r w:rsidRPr="00A33B6C">
        <w:rPr>
          <w:rFonts w:cs="Arial"/>
          <w:b/>
          <w:bCs/>
          <w:sz w:val="22"/>
        </w:rPr>
        <w:t>La personne a consenti</w:t>
      </w:r>
      <w:r w:rsidRPr="00A33B6C">
        <w:rPr>
          <w:rFonts w:cs="Arial"/>
          <w:sz w:val="22"/>
        </w:rPr>
        <w:t xml:space="preserve">, </w:t>
      </w:r>
    </w:p>
    <w:p w14:paraId="60C3CB74" w14:textId="4EB33D24" w:rsidR="00972638" w:rsidRPr="00A33B6C" w:rsidRDefault="00A7316C" w:rsidP="00A33B6C">
      <w:pPr>
        <w:pStyle w:val="Paragraphedeliste"/>
        <w:numPr>
          <w:ilvl w:val="0"/>
          <w:numId w:val="23"/>
        </w:numPr>
        <w:rPr>
          <w:rFonts w:cs="Arial"/>
          <w:sz w:val="22"/>
        </w:rPr>
      </w:pPr>
      <w:r w:rsidRPr="00A33B6C">
        <w:rPr>
          <w:rFonts w:cs="Arial"/>
          <w:sz w:val="22"/>
        </w:rPr>
        <w:t xml:space="preserve">Le </w:t>
      </w:r>
      <w:r w:rsidRPr="00A33B6C">
        <w:rPr>
          <w:rFonts w:cs="Arial"/>
          <w:b/>
          <w:bCs/>
          <w:sz w:val="22"/>
        </w:rPr>
        <w:t>décès</w:t>
      </w:r>
      <w:r w:rsidRPr="00A33B6C">
        <w:rPr>
          <w:rFonts w:cs="Arial"/>
          <w:sz w:val="22"/>
        </w:rPr>
        <w:t xml:space="preserve"> a été </w:t>
      </w:r>
      <w:r w:rsidRPr="00A33B6C">
        <w:rPr>
          <w:rFonts w:cs="Arial"/>
          <w:b/>
          <w:bCs/>
          <w:sz w:val="22"/>
        </w:rPr>
        <w:t>constaté</w:t>
      </w:r>
      <w:r w:rsidRPr="00A33B6C">
        <w:rPr>
          <w:rFonts w:cs="Arial"/>
          <w:sz w:val="22"/>
        </w:rPr>
        <w:t>.</w:t>
      </w:r>
    </w:p>
    <w:p w14:paraId="60A348A9" w14:textId="4BBDD142" w:rsidR="00A7316C" w:rsidRPr="00A33B6C" w:rsidRDefault="00A7316C" w:rsidP="00A33B6C">
      <w:pPr>
        <w:pStyle w:val="Paragraphedeliste"/>
        <w:ind w:left="0"/>
        <w:rPr>
          <w:rFonts w:cs="Arial"/>
          <w:sz w:val="22"/>
        </w:rPr>
      </w:pPr>
    </w:p>
    <w:p w14:paraId="4C11C0D8" w14:textId="77777777" w:rsidR="00067289" w:rsidRPr="00A33B6C" w:rsidRDefault="00067289" w:rsidP="00A33B6C">
      <w:pPr>
        <w:pStyle w:val="Paragraphedeliste"/>
        <w:ind w:left="0"/>
        <w:rPr>
          <w:rFonts w:cs="Arial"/>
          <w:sz w:val="22"/>
        </w:rPr>
      </w:pPr>
    </w:p>
    <w:p w14:paraId="2DC41357" w14:textId="4BFD6EF1" w:rsidR="00067289" w:rsidRPr="00A33B6C" w:rsidRDefault="00067289" w:rsidP="00A33B6C">
      <w:pPr>
        <w:pStyle w:val="Paragraphedeliste"/>
        <w:numPr>
          <w:ilvl w:val="0"/>
          <w:numId w:val="24"/>
        </w:numPr>
        <w:rPr>
          <w:rFonts w:cs="Arial"/>
          <w:i/>
          <w:iCs/>
          <w:sz w:val="22"/>
        </w:rPr>
      </w:pPr>
      <w:r w:rsidRPr="00A33B6C">
        <w:rPr>
          <w:rFonts w:cs="Arial"/>
          <w:i/>
          <w:iCs/>
          <w:sz w:val="22"/>
        </w:rPr>
        <w:t>Consentement</w:t>
      </w:r>
    </w:p>
    <w:p w14:paraId="5495F5EE" w14:textId="5FB59172" w:rsidR="00067289" w:rsidRPr="00A33B6C" w:rsidRDefault="00067289" w:rsidP="00A33B6C">
      <w:pPr>
        <w:rPr>
          <w:rFonts w:cs="Arial"/>
          <w:sz w:val="22"/>
        </w:rPr>
      </w:pPr>
    </w:p>
    <w:p w14:paraId="5399A3BF" w14:textId="4DD230D0" w:rsidR="00067289" w:rsidRPr="00A33B6C" w:rsidRDefault="00067289" w:rsidP="00A33B6C">
      <w:pPr>
        <w:rPr>
          <w:rFonts w:cs="Arial"/>
          <w:sz w:val="22"/>
        </w:rPr>
      </w:pPr>
      <w:r w:rsidRPr="00A33B6C">
        <w:rPr>
          <w:rFonts w:cs="Arial"/>
          <w:sz w:val="22"/>
        </w:rPr>
        <w:t>Il est en principe, le cas échéant, donné par la personne de son  vivant, par une carte de donneur ou une inscription dans le registre national du don d’organes.</w:t>
      </w:r>
    </w:p>
    <w:p w14:paraId="13A76B10" w14:textId="18C313F1" w:rsidR="00067289" w:rsidRPr="00A33B6C" w:rsidRDefault="00067289" w:rsidP="00A33B6C">
      <w:pPr>
        <w:rPr>
          <w:rFonts w:cs="Arial"/>
          <w:sz w:val="22"/>
        </w:rPr>
      </w:pPr>
    </w:p>
    <w:p w14:paraId="0EE0B0D6" w14:textId="56652D8A" w:rsidR="00067289" w:rsidRPr="00A33B6C" w:rsidRDefault="00067289" w:rsidP="00A33B6C">
      <w:pPr>
        <w:rPr>
          <w:rFonts w:cs="Arial"/>
          <w:sz w:val="22"/>
        </w:rPr>
      </w:pPr>
      <w:r w:rsidRPr="00A33B6C">
        <w:rPr>
          <w:rFonts w:cs="Arial"/>
          <w:sz w:val="22"/>
        </w:rPr>
        <w:t xml:space="preserve">Le consentement peut être « complet » (tout organe) ou limité à certains organes. </w:t>
      </w:r>
    </w:p>
    <w:p w14:paraId="6005709B" w14:textId="77777777" w:rsidR="00067289" w:rsidRPr="00A33B6C" w:rsidRDefault="00067289" w:rsidP="00A33B6C">
      <w:pPr>
        <w:rPr>
          <w:rFonts w:cs="Arial"/>
          <w:sz w:val="22"/>
        </w:rPr>
      </w:pPr>
    </w:p>
    <w:p w14:paraId="0ABA9A03" w14:textId="09BE890A" w:rsidR="00067289" w:rsidRPr="00A33B6C" w:rsidRDefault="00067289" w:rsidP="00A33B6C">
      <w:pPr>
        <w:rPr>
          <w:rFonts w:eastAsia="Times New Roman" w:cs="Arial"/>
          <w:sz w:val="22"/>
          <w:lang w:val="fr-CH" w:eastAsia="fr-FR"/>
        </w:rPr>
      </w:pPr>
      <w:r w:rsidRPr="00A33B6C">
        <w:rPr>
          <w:rFonts w:cs="Arial"/>
          <w:sz w:val="22"/>
        </w:rPr>
        <w:t xml:space="preserve">S’il n’a pas été donné par la personne avant son décès, l’art. 8 al. 2 loi sur la transplantation indique que </w:t>
      </w:r>
      <w:r w:rsidRPr="00A33B6C">
        <w:rPr>
          <w:rFonts w:eastAsia="Times New Roman" w:cs="Arial"/>
          <w:sz w:val="22"/>
          <w:lang w:val="fr-CH" w:eastAsia="fr-FR"/>
        </w:rPr>
        <w:t>« en l’absence de tout document attestant le consentement ou le refus de la personne décédée, il est demandé aux proches s’ils ont connaissance d’une déclaration de don ».</w:t>
      </w:r>
    </w:p>
    <w:p w14:paraId="1FBFEDBC" w14:textId="6D9C02D2" w:rsidR="00067289" w:rsidRPr="00A33B6C" w:rsidRDefault="00067289" w:rsidP="00A33B6C">
      <w:pPr>
        <w:rPr>
          <w:rFonts w:cs="Arial"/>
          <w:sz w:val="22"/>
          <w:lang w:val="fr-CH"/>
        </w:rPr>
      </w:pPr>
    </w:p>
    <w:p w14:paraId="2AA6E5C6" w14:textId="77777777" w:rsidR="00A33B6C" w:rsidRPr="00A33B6C" w:rsidRDefault="00A33B6C" w:rsidP="00A33B6C">
      <w:pPr>
        <w:rPr>
          <w:rFonts w:cs="Arial"/>
          <w:sz w:val="22"/>
          <w:lang w:val="fr-CH"/>
        </w:rPr>
      </w:pPr>
      <w:r w:rsidRPr="00A33B6C">
        <w:rPr>
          <w:rFonts w:cs="Arial"/>
          <w:sz w:val="22"/>
          <w:lang w:val="fr-CH"/>
        </w:rPr>
        <w:t xml:space="preserve">L’art. 8 loi sur la transplantation règle tous les cas pouvant survenir autour de l’absence de consentement, distinguant un défaut avec ou sans proches. </w:t>
      </w:r>
    </w:p>
    <w:p w14:paraId="54C3BFC9" w14:textId="77777777" w:rsidR="00A33B6C" w:rsidRPr="00A33B6C" w:rsidRDefault="00A33B6C" w:rsidP="00A33B6C">
      <w:pPr>
        <w:rPr>
          <w:rFonts w:cs="Arial"/>
          <w:sz w:val="22"/>
          <w:lang w:val="fr-CH"/>
        </w:rPr>
      </w:pPr>
    </w:p>
    <w:p w14:paraId="60CFB91C" w14:textId="7E23C267" w:rsidR="00A33B6C" w:rsidRPr="00A33B6C" w:rsidRDefault="00A33B6C" w:rsidP="00A33B6C">
      <w:pPr>
        <w:rPr>
          <w:rFonts w:cs="Arial"/>
          <w:sz w:val="22"/>
        </w:rPr>
      </w:pPr>
      <w:r w:rsidRPr="00A33B6C">
        <w:rPr>
          <w:rFonts w:cs="Arial"/>
          <w:sz w:val="22"/>
        </w:rPr>
        <w:t>Si les proches n’ont pas connaissance d’une telle déclaration, un prélèvement d’organes, de tissus ou de cellules ne peut être effectué que s’ils y consentent. En prenant leur décision, ils doivent respecter la volonté présumée de la personne décédée.</w:t>
      </w:r>
    </w:p>
    <w:p w14:paraId="5ED074F5" w14:textId="77777777" w:rsidR="00A33B6C" w:rsidRPr="00A33B6C" w:rsidRDefault="00A33B6C" w:rsidP="00A33B6C">
      <w:pPr>
        <w:rPr>
          <w:rFonts w:cs="Arial"/>
          <w:sz w:val="22"/>
        </w:rPr>
      </w:pPr>
    </w:p>
    <w:p w14:paraId="5E3C8AB8" w14:textId="77777777" w:rsidR="00A33B6C" w:rsidRPr="00A33B6C" w:rsidRDefault="00A33B6C" w:rsidP="00A33B6C">
      <w:pPr>
        <w:rPr>
          <w:rFonts w:cs="Arial"/>
          <w:sz w:val="22"/>
        </w:rPr>
      </w:pPr>
      <w:r w:rsidRPr="00A33B6C">
        <w:rPr>
          <w:rFonts w:cs="Arial"/>
          <w:sz w:val="22"/>
        </w:rPr>
        <w:t xml:space="preserve">Logiquement, la demande adressée aux proches et leur consentement ne peuvent intervenir </w:t>
      </w:r>
      <w:r w:rsidRPr="00A33B6C">
        <w:rPr>
          <w:rFonts w:cs="Arial"/>
          <w:b/>
          <w:bCs/>
          <w:sz w:val="22"/>
        </w:rPr>
        <w:t>qu’une fois prise la décision d’interrompre les mesures de maintien en vie</w:t>
      </w:r>
      <w:r w:rsidRPr="00A33B6C">
        <w:rPr>
          <w:rFonts w:cs="Arial"/>
          <w:sz w:val="22"/>
        </w:rPr>
        <w:t>.</w:t>
      </w:r>
    </w:p>
    <w:p w14:paraId="20C3E4AB" w14:textId="77777777" w:rsidR="00A33B6C" w:rsidRPr="00A33B6C" w:rsidRDefault="00A33B6C" w:rsidP="00A33B6C">
      <w:pPr>
        <w:rPr>
          <w:rFonts w:cs="Arial"/>
          <w:sz w:val="22"/>
        </w:rPr>
      </w:pPr>
    </w:p>
    <w:p w14:paraId="15DC5358" w14:textId="77777777" w:rsidR="00A33B6C" w:rsidRPr="00A33B6C" w:rsidRDefault="00A33B6C" w:rsidP="00A33B6C">
      <w:pPr>
        <w:rPr>
          <w:rFonts w:cs="Arial"/>
          <w:sz w:val="22"/>
        </w:rPr>
      </w:pPr>
      <w:r w:rsidRPr="00A33B6C">
        <w:rPr>
          <w:rFonts w:cs="Arial"/>
          <w:sz w:val="22"/>
        </w:rPr>
        <w:t>Si la personne décédée n’a pas de proches ou qu’il n’est pas possible de se mettre en rapport avec eux, il est interdit de procéder à un prélèvement</w:t>
      </w:r>
    </w:p>
    <w:p w14:paraId="0B562AC5" w14:textId="77777777" w:rsidR="00A33B6C" w:rsidRPr="00A33B6C" w:rsidRDefault="00A33B6C" w:rsidP="00A33B6C">
      <w:pPr>
        <w:rPr>
          <w:rFonts w:cs="Arial"/>
          <w:sz w:val="22"/>
        </w:rPr>
      </w:pPr>
    </w:p>
    <w:p w14:paraId="1899F2C3" w14:textId="4401DABF" w:rsidR="00A33B6C" w:rsidRPr="00A33B6C" w:rsidRDefault="00A33B6C" w:rsidP="00A33B6C">
      <w:pPr>
        <w:rPr>
          <w:rFonts w:cs="Arial"/>
          <w:sz w:val="22"/>
        </w:rPr>
      </w:pPr>
      <w:r w:rsidRPr="00A33B6C">
        <w:rPr>
          <w:rFonts w:cs="Arial"/>
          <w:sz w:val="22"/>
        </w:rPr>
        <w:t>La volonté de la personne décédée prime celle des proches.</w:t>
      </w:r>
    </w:p>
    <w:p w14:paraId="3C0C6EC2" w14:textId="77777777" w:rsidR="00A33B6C" w:rsidRPr="00A33B6C" w:rsidRDefault="00A33B6C" w:rsidP="00A33B6C">
      <w:pPr>
        <w:rPr>
          <w:rFonts w:cs="Arial"/>
          <w:sz w:val="22"/>
        </w:rPr>
      </w:pPr>
    </w:p>
    <w:p w14:paraId="5517B18F" w14:textId="073F83D2" w:rsidR="00A33B6C" w:rsidRPr="00A33B6C" w:rsidRDefault="00A33B6C" w:rsidP="00A33B6C">
      <w:pPr>
        <w:rPr>
          <w:rFonts w:cs="Arial"/>
          <w:sz w:val="22"/>
        </w:rPr>
      </w:pPr>
      <w:r w:rsidRPr="00A33B6C">
        <w:rPr>
          <w:rFonts w:cs="Arial"/>
          <w:sz w:val="22"/>
        </w:rPr>
        <w:lastRenderedPageBreak/>
        <w:t xml:space="preserve">S’il est prouvé que la personne décédée a délégué à </w:t>
      </w:r>
      <w:r w:rsidRPr="00A33B6C">
        <w:rPr>
          <w:rFonts w:cs="Arial"/>
          <w:b/>
          <w:bCs/>
          <w:sz w:val="22"/>
        </w:rPr>
        <w:t>une personne de confiance</w:t>
      </w:r>
      <w:r w:rsidRPr="00A33B6C">
        <w:rPr>
          <w:rFonts w:cs="Arial"/>
          <w:sz w:val="22"/>
        </w:rPr>
        <w:t xml:space="preserve"> la compétence de prendre une décision concernant un prélèvement d’organes, de tissus ou de cellules, </w:t>
      </w:r>
      <w:r w:rsidRPr="00A33B6C">
        <w:rPr>
          <w:rFonts w:cs="Arial"/>
          <w:b/>
          <w:bCs/>
          <w:sz w:val="22"/>
        </w:rPr>
        <w:t>cette dernière agit en lieu et place des proches.</w:t>
      </w:r>
    </w:p>
    <w:p w14:paraId="68C9228E" w14:textId="77777777" w:rsidR="00A33B6C" w:rsidRPr="00A33B6C" w:rsidRDefault="00A33B6C" w:rsidP="00A33B6C">
      <w:pPr>
        <w:rPr>
          <w:rFonts w:cs="Arial"/>
          <w:sz w:val="22"/>
        </w:rPr>
      </w:pPr>
    </w:p>
    <w:p w14:paraId="2BC791E4" w14:textId="09039072" w:rsidR="00A33B6C" w:rsidRPr="00A33B6C" w:rsidRDefault="00A33B6C" w:rsidP="00A33B6C">
      <w:pPr>
        <w:rPr>
          <w:rFonts w:cs="Arial"/>
          <w:sz w:val="22"/>
          <w:lang w:val="fr-CH"/>
        </w:rPr>
      </w:pPr>
      <w:r w:rsidRPr="00A33B6C">
        <w:rPr>
          <w:rFonts w:cs="Arial"/>
          <w:b/>
          <w:bCs/>
          <w:sz w:val="22"/>
        </w:rPr>
        <w:t>Toute personne âgée de 16 ans est habilitée à faire une déclaration de don</w:t>
      </w:r>
      <w:r w:rsidRPr="00A33B6C">
        <w:rPr>
          <w:rFonts w:cs="Arial"/>
          <w:sz w:val="22"/>
        </w:rPr>
        <w:t>.</w:t>
      </w:r>
    </w:p>
    <w:p w14:paraId="18FA9680" w14:textId="77777777" w:rsidR="00A33B6C" w:rsidRPr="00A33B6C" w:rsidRDefault="00A33B6C" w:rsidP="00A33B6C">
      <w:pPr>
        <w:rPr>
          <w:rFonts w:cs="Arial"/>
          <w:sz w:val="22"/>
          <w:lang w:val="fr-CH"/>
        </w:rPr>
      </w:pPr>
    </w:p>
    <w:p w14:paraId="6FC1DE15" w14:textId="65090323" w:rsidR="00067289" w:rsidRPr="00A33B6C" w:rsidRDefault="00A33B6C" w:rsidP="00A33B6C">
      <w:pPr>
        <w:rPr>
          <w:rFonts w:cs="Arial"/>
          <w:sz w:val="22"/>
        </w:rPr>
      </w:pPr>
      <w:r w:rsidRPr="00A33B6C">
        <w:rPr>
          <w:rFonts w:cs="Arial"/>
          <w:sz w:val="22"/>
        </w:rPr>
        <w:t xml:space="preserve">Il y a une forme de paradoxe entre le fait de ne pas prélever les organes d’une personne qui n’a pas de proches pouvant s’exprimer et le fait de reconnaître à un adolescent de 16 ans la capacité de remplir une carte de donneur d’organes. </w:t>
      </w:r>
    </w:p>
    <w:p w14:paraId="47E0C640" w14:textId="25CA38FF" w:rsidR="00A7316C" w:rsidRPr="00A33B6C" w:rsidRDefault="00A7316C" w:rsidP="00A33B6C">
      <w:pPr>
        <w:pStyle w:val="Paragraphedeliste"/>
        <w:ind w:left="0"/>
        <w:rPr>
          <w:rFonts w:cs="Arial"/>
          <w:sz w:val="22"/>
        </w:rPr>
      </w:pPr>
    </w:p>
    <w:p w14:paraId="59F95BF6" w14:textId="77777777" w:rsidR="00A33B6C" w:rsidRPr="00A33B6C" w:rsidRDefault="00A33B6C" w:rsidP="00A33B6C">
      <w:pPr>
        <w:pStyle w:val="Paragraphedeliste"/>
        <w:ind w:left="0"/>
        <w:rPr>
          <w:rFonts w:cs="Arial"/>
          <w:sz w:val="22"/>
        </w:rPr>
      </w:pPr>
    </w:p>
    <w:p w14:paraId="081EA18E" w14:textId="381681FC" w:rsidR="00972638" w:rsidRPr="00A33B6C" w:rsidRDefault="00A7316C" w:rsidP="00A33B6C">
      <w:pPr>
        <w:pStyle w:val="Paragraphedeliste"/>
        <w:numPr>
          <w:ilvl w:val="0"/>
          <w:numId w:val="24"/>
        </w:numPr>
        <w:rPr>
          <w:rFonts w:cs="Arial"/>
          <w:b/>
          <w:bCs/>
          <w:i/>
          <w:iCs/>
          <w:sz w:val="22"/>
        </w:rPr>
      </w:pPr>
      <w:r w:rsidRPr="00A33B6C">
        <w:rPr>
          <w:rFonts w:cs="Arial"/>
          <w:i/>
          <w:iCs/>
          <w:sz w:val="22"/>
        </w:rPr>
        <w:t xml:space="preserve">Constat de décès </w:t>
      </w:r>
    </w:p>
    <w:p w14:paraId="1A286E2C" w14:textId="77777777" w:rsidR="00972638" w:rsidRPr="00A33B6C" w:rsidRDefault="00972638" w:rsidP="00A33B6C">
      <w:pPr>
        <w:pStyle w:val="Paragraphedeliste"/>
        <w:ind w:left="0"/>
        <w:rPr>
          <w:rFonts w:cs="Arial"/>
          <w:sz w:val="22"/>
        </w:rPr>
      </w:pPr>
    </w:p>
    <w:p w14:paraId="1C17608F" w14:textId="52856AF3" w:rsidR="00972638" w:rsidRPr="00A33B6C" w:rsidRDefault="00972638" w:rsidP="00A33B6C">
      <w:pPr>
        <w:pStyle w:val="Paragraphedeliste"/>
        <w:ind w:left="0"/>
        <w:rPr>
          <w:rFonts w:cs="Arial"/>
          <w:sz w:val="22"/>
        </w:rPr>
      </w:pPr>
      <w:r w:rsidRPr="00A33B6C">
        <w:rPr>
          <w:rFonts w:cs="Arial"/>
          <w:sz w:val="22"/>
        </w:rPr>
        <w:t>L</w:t>
      </w:r>
      <w:r w:rsidR="00525EF4" w:rsidRPr="00A33B6C">
        <w:rPr>
          <w:rFonts w:cs="Arial"/>
          <w:sz w:val="22"/>
        </w:rPr>
        <w:t>a</w:t>
      </w:r>
      <w:r w:rsidRPr="00A33B6C">
        <w:rPr>
          <w:rFonts w:cs="Arial"/>
          <w:sz w:val="22"/>
        </w:rPr>
        <w:t xml:space="preserve"> </w:t>
      </w:r>
      <w:r w:rsidRPr="00A33B6C">
        <w:rPr>
          <w:rFonts w:cs="Arial"/>
          <w:b/>
          <w:bCs/>
          <w:sz w:val="22"/>
        </w:rPr>
        <w:t>mort cérébrale</w:t>
      </w:r>
      <w:r w:rsidR="00A34364" w:rsidRPr="00A33B6C">
        <w:rPr>
          <w:rStyle w:val="Appelnotedebasdep"/>
          <w:rFonts w:cs="Arial"/>
          <w:b/>
          <w:bCs/>
          <w:sz w:val="22"/>
        </w:rPr>
        <w:footnoteReference w:id="1"/>
      </w:r>
      <w:r w:rsidR="00A34364" w:rsidRPr="00A33B6C">
        <w:rPr>
          <w:rFonts w:cs="Arial"/>
          <w:sz w:val="22"/>
        </w:rPr>
        <w:t>, résultant par exemple d’un arrêt circulatoire persistant qui interrompt la circulation sanguine cérébrale suffisamment longtemps pour provoquer une défaillance irréversible du cerveau.</w:t>
      </w:r>
    </w:p>
    <w:p w14:paraId="1B9C0C11" w14:textId="77777777" w:rsidR="00A34364" w:rsidRPr="00A33B6C" w:rsidRDefault="00A34364" w:rsidP="00A33B6C">
      <w:pPr>
        <w:pStyle w:val="Paragraphedeliste"/>
        <w:ind w:left="0"/>
        <w:rPr>
          <w:rFonts w:cs="Arial"/>
          <w:sz w:val="22"/>
        </w:rPr>
      </w:pPr>
    </w:p>
    <w:p w14:paraId="44F38D4A" w14:textId="7F69394F" w:rsidR="00972638" w:rsidRPr="00A33B6C" w:rsidRDefault="00972638" w:rsidP="00A33B6C">
      <w:pPr>
        <w:pStyle w:val="Paragraphedeliste"/>
        <w:ind w:left="0"/>
        <w:rPr>
          <w:rFonts w:cs="Arial"/>
          <w:sz w:val="22"/>
        </w:rPr>
      </w:pPr>
      <w:r w:rsidRPr="00A33B6C">
        <w:rPr>
          <w:rFonts w:cs="Arial"/>
          <w:sz w:val="22"/>
        </w:rPr>
        <w:t xml:space="preserve">Les </w:t>
      </w:r>
      <w:r w:rsidRPr="00A33B6C">
        <w:rPr>
          <w:rFonts w:cs="Arial"/>
          <w:b/>
          <w:bCs/>
          <w:sz w:val="22"/>
        </w:rPr>
        <w:t>signes cliniques</w:t>
      </w:r>
      <w:r w:rsidRPr="00A33B6C">
        <w:rPr>
          <w:rFonts w:cs="Arial"/>
          <w:sz w:val="22"/>
        </w:rPr>
        <w:t xml:space="preserve"> permettant de </w:t>
      </w:r>
      <w:r w:rsidRPr="00A33B6C">
        <w:rPr>
          <w:rFonts w:cs="Arial"/>
          <w:b/>
          <w:bCs/>
          <w:sz w:val="22"/>
        </w:rPr>
        <w:t>conclure à la mort cérébrale</w:t>
      </w:r>
      <w:r w:rsidRPr="00A33B6C">
        <w:rPr>
          <w:rFonts w:cs="Arial"/>
          <w:sz w:val="22"/>
        </w:rPr>
        <w:t xml:space="preserve"> sont édictés dans les normes non-étatiques</w:t>
      </w:r>
      <w:r w:rsidR="00525EF4" w:rsidRPr="00A33B6C">
        <w:rPr>
          <w:rFonts w:cs="Arial"/>
          <w:sz w:val="22"/>
        </w:rPr>
        <w:t>, à savoir les d</w:t>
      </w:r>
      <w:r w:rsidRPr="00A33B6C">
        <w:rPr>
          <w:rFonts w:cs="Arial"/>
          <w:sz w:val="22"/>
        </w:rPr>
        <w:t>irectives médico-éthiques de l’Académie Suisse des Sciences Médicales</w:t>
      </w:r>
      <w:r w:rsidR="00BF5A61" w:rsidRPr="00A33B6C">
        <w:rPr>
          <w:rStyle w:val="Appelnotedebasdep"/>
          <w:rFonts w:cs="Arial"/>
          <w:sz w:val="22"/>
        </w:rPr>
        <w:footnoteReference w:id="2"/>
      </w:r>
      <w:r w:rsidR="00A7316C" w:rsidRPr="00A33B6C">
        <w:rPr>
          <w:rFonts w:cs="Arial"/>
          <w:sz w:val="22"/>
        </w:rPr>
        <w:t xml:space="preserve">. Ces directives ont toutefois acquis force de « loi » puisque différentes législations cantonales y renvoient et les déclarent applicables. </w:t>
      </w:r>
    </w:p>
    <w:p w14:paraId="6C08E250" w14:textId="2BDF03B6" w:rsidR="006D1A88" w:rsidRPr="00A33B6C" w:rsidRDefault="006D1A88" w:rsidP="00A33B6C">
      <w:pPr>
        <w:rPr>
          <w:rFonts w:cs="Arial"/>
          <w:sz w:val="22"/>
        </w:rPr>
      </w:pPr>
    </w:p>
    <w:p w14:paraId="259E1F48" w14:textId="3E22CF8B" w:rsidR="006D1A88" w:rsidRPr="00A33B6C" w:rsidRDefault="006D1A88" w:rsidP="00A33B6C">
      <w:pPr>
        <w:rPr>
          <w:rFonts w:cs="Arial"/>
          <w:sz w:val="22"/>
        </w:rPr>
      </w:pPr>
    </w:p>
    <w:p w14:paraId="56422FB0" w14:textId="6F70372E" w:rsidR="00972638" w:rsidRPr="00A33B6C" w:rsidRDefault="00A33B6C" w:rsidP="00A33B6C">
      <w:pPr>
        <w:pStyle w:val="Paragraphedeliste"/>
        <w:numPr>
          <w:ilvl w:val="0"/>
          <w:numId w:val="22"/>
        </w:numPr>
        <w:rPr>
          <w:rFonts w:cs="Arial"/>
          <w:b/>
          <w:bCs/>
          <w:sz w:val="22"/>
        </w:rPr>
      </w:pPr>
      <w:r w:rsidRPr="00A33B6C">
        <w:rPr>
          <w:rFonts w:cs="Arial"/>
          <w:b/>
          <w:bCs/>
          <w:sz w:val="22"/>
        </w:rPr>
        <w:t xml:space="preserve">Actuellement </w:t>
      </w:r>
    </w:p>
    <w:p w14:paraId="45BB888C" w14:textId="77777777" w:rsidR="00A33B6C" w:rsidRDefault="00A33B6C" w:rsidP="00A33B6C">
      <w:pPr>
        <w:rPr>
          <w:rFonts w:cs="Arial"/>
          <w:sz w:val="22"/>
        </w:rPr>
      </w:pPr>
    </w:p>
    <w:p w14:paraId="5403172E" w14:textId="224781A5" w:rsidR="00A33B6C" w:rsidRDefault="00A33B6C" w:rsidP="00A33B6C">
      <w:pPr>
        <w:rPr>
          <w:rFonts w:cs="Arial"/>
          <w:sz w:val="22"/>
        </w:rPr>
      </w:pPr>
      <w:r>
        <w:rPr>
          <w:rFonts w:cs="Arial"/>
          <w:sz w:val="22"/>
        </w:rPr>
        <w:t>L’i</w:t>
      </w:r>
      <w:r w:rsidR="008B6EDB" w:rsidRPr="00A33B6C">
        <w:rPr>
          <w:rFonts w:cs="Arial"/>
          <w:sz w:val="22"/>
        </w:rPr>
        <w:t xml:space="preserve">nitiative populaire fédérale </w:t>
      </w:r>
      <w:r w:rsidR="008B6EDB" w:rsidRPr="00A33B6C">
        <w:rPr>
          <w:rFonts w:cs="Arial"/>
          <w:i/>
          <w:iCs/>
          <w:sz w:val="22"/>
        </w:rPr>
        <w:t>Pour sauver des vies en favorisant le don d’organes</w:t>
      </w:r>
      <w:r>
        <w:rPr>
          <w:rFonts w:cs="Arial"/>
          <w:i/>
          <w:iCs/>
          <w:sz w:val="22"/>
        </w:rPr>
        <w:t xml:space="preserve"> </w:t>
      </w:r>
      <w:bookmarkStart w:id="0" w:name="_Hlk60058652"/>
      <w:r w:rsidR="00403561" w:rsidRPr="00A33B6C">
        <w:rPr>
          <w:rFonts w:cs="Arial"/>
          <w:sz w:val="22"/>
        </w:rPr>
        <w:t>vise</w:t>
      </w:r>
      <w:r w:rsidR="00972638" w:rsidRPr="00A33B6C">
        <w:rPr>
          <w:rFonts w:cs="Arial"/>
          <w:sz w:val="22"/>
        </w:rPr>
        <w:t xml:space="preserve"> à </w:t>
      </w:r>
      <w:r>
        <w:rPr>
          <w:rFonts w:cs="Arial"/>
          <w:sz w:val="22"/>
        </w:rPr>
        <w:t>l’adjonction d’</w:t>
      </w:r>
      <w:r w:rsidR="00C31815" w:rsidRPr="00A33B6C">
        <w:rPr>
          <w:rFonts w:cs="Arial"/>
          <w:sz w:val="22"/>
        </w:rPr>
        <w:t xml:space="preserve">un nouvel alinéa 4 à l’article 119a </w:t>
      </w:r>
      <w:proofErr w:type="spellStart"/>
      <w:r>
        <w:rPr>
          <w:rFonts w:cs="Arial"/>
          <w:sz w:val="22"/>
        </w:rPr>
        <w:t>Cst</w:t>
      </w:r>
      <w:proofErr w:type="spellEnd"/>
      <w:r>
        <w:rPr>
          <w:rFonts w:cs="Arial"/>
          <w:sz w:val="22"/>
        </w:rPr>
        <w:t> :</w:t>
      </w:r>
    </w:p>
    <w:p w14:paraId="33363FE0" w14:textId="77777777" w:rsidR="00A33B6C" w:rsidRDefault="00A33B6C" w:rsidP="00A33B6C">
      <w:pPr>
        <w:pStyle w:val="NormalWeb"/>
      </w:pPr>
      <w:r>
        <w:rPr>
          <w:rStyle w:val="Accentuation"/>
        </w:rPr>
        <w:t>Art. 119a, al. 4</w:t>
      </w:r>
    </w:p>
    <w:p w14:paraId="433D5089" w14:textId="77777777" w:rsidR="00A33B6C" w:rsidRDefault="00A33B6C" w:rsidP="00A33B6C">
      <w:pPr>
        <w:pStyle w:val="NormalWeb"/>
      </w:pPr>
      <w:r>
        <w:rPr>
          <w:vertAlign w:val="superscript"/>
        </w:rPr>
        <w:t>4</w:t>
      </w:r>
      <w:r>
        <w:t xml:space="preserve"> Le don d’organes, de tissus et de cellules d’une personne décédée, dans le but d’une transplantation, est basé sur le principe du consentement présumé de la personne à moins que celle-ci ait fait connaître, de son vivant, son refus.</w:t>
      </w:r>
    </w:p>
    <w:bookmarkEnd w:id="0"/>
    <w:p w14:paraId="4286EA0B" w14:textId="3E40F299" w:rsidR="00403561" w:rsidRPr="00A33B6C" w:rsidRDefault="00A33B6C" w:rsidP="00A33B6C">
      <w:pPr>
        <w:pStyle w:val="Paragraphedeliste"/>
        <w:ind w:left="0"/>
        <w:rPr>
          <w:rFonts w:cs="Arial"/>
          <w:sz w:val="22"/>
        </w:rPr>
      </w:pPr>
      <w:r>
        <w:rPr>
          <w:rFonts w:cs="Arial"/>
          <w:sz w:val="22"/>
        </w:rPr>
        <w:t>Il en découlerait un passage du système « </w:t>
      </w:r>
      <w:proofErr w:type="spellStart"/>
      <w:r>
        <w:rPr>
          <w:rFonts w:cs="Arial"/>
          <w:sz w:val="22"/>
        </w:rPr>
        <w:t>opting</w:t>
      </w:r>
      <w:proofErr w:type="spellEnd"/>
      <w:r>
        <w:rPr>
          <w:rFonts w:cs="Arial"/>
          <w:sz w:val="22"/>
        </w:rPr>
        <w:t xml:space="preserve"> in » au « </w:t>
      </w:r>
      <w:proofErr w:type="spellStart"/>
      <w:r>
        <w:rPr>
          <w:rFonts w:cs="Arial"/>
          <w:sz w:val="22"/>
        </w:rPr>
        <w:t>opting</w:t>
      </w:r>
      <w:proofErr w:type="spellEnd"/>
      <w:r>
        <w:rPr>
          <w:rFonts w:cs="Arial"/>
          <w:sz w:val="22"/>
        </w:rPr>
        <w:t xml:space="preserve">  out » : on devrait exprimer ne pas vouloir et indiquer sa volonté de « sortir » du système qui est « qui ne dit mot consent ». </w:t>
      </w:r>
    </w:p>
    <w:p w14:paraId="16D5FD95" w14:textId="14B8F023" w:rsidR="000A44E6" w:rsidRPr="00A33B6C" w:rsidRDefault="000A44E6" w:rsidP="00A33B6C">
      <w:pPr>
        <w:rPr>
          <w:rFonts w:cs="Arial"/>
          <w:sz w:val="22"/>
        </w:rPr>
      </w:pPr>
      <w:r w:rsidRPr="00A33B6C">
        <w:rPr>
          <w:rFonts w:cs="Arial"/>
          <w:sz w:val="22"/>
        </w:rPr>
        <w:br w:type="page"/>
      </w:r>
    </w:p>
    <w:p w14:paraId="5D89BA4D" w14:textId="12ECAD0E" w:rsidR="00C903C9" w:rsidRPr="00C903C9" w:rsidRDefault="00C903C9" w:rsidP="00C903C9">
      <w:pPr>
        <w:rPr>
          <w:rFonts w:cs="Arial"/>
          <w:b/>
          <w:bCs/>
          <w:caps/>
          <w:sz w:val="22"/>
        </w:rPr>
      </w:pPr>
      <w:r>
        <w:rPr>
          <w:rFonts w:cs="Arial"/>
          <w:b/>
          <w:bCs/>
          <w:caps/>
          <w:sz w:val="22"/>
        </w:rPr>
        <w:lastRenderedPageBreak/>
        <w:t>droit et politique de transplantation</w:t>
      </w:r>
    </w:p>
    <w:p w14:paraId="07BCFF2E" w14:textId="77777777" w:rsidR="00C903C9" w:rsidRPr="00C903C9" w:rsidRDefault="00C903C9" w:rsidP="00C903C9">
      <w:pPr>
        <w:rPr>
          <w:rFonts w:cs="Arial"/>
          <w:b/>
          <w:bCs/>
          <w:caps/>
          <w:sz w:val="22"/>
        </w:rPr>
      </w:pPr>
    </w:p>
    <w:p w14:paraId="78964E11" w14:textId="72D5FAD3" w:rsidR="00C903C9" w:rsidRPr="00C903C9" w:rsidRDefault="00C903C9" w:rsidP="00C903C9">
      <w:pPr>
        <w:pBdr>
          <w:bottom w:val="single" w:sz="12" w:space="1" w:color="auto"/>
        </w:pBdr>
        <w:rPr>
          <w:rFonts w:cs="Arial"/>
          <w:b/>
          <w:bCs/>
          <w:smallCaps/>
          <w:sz w:val="22"/>
        </w:rPr>
      </w:pPr>
      <w:r>
        <w:rPr>
          <w:rFonts w:cs="Arial"/>
          <w:b/>
          <w:bCs/>
          <w:smallCaps/>
          <w:sz w:val="22"/>
        </w:rPr>
        <w:t xml:space="preserve">comment l’état peut-il promouvoir le don d’organes ? discutez les arguments juridiques en faveur – en défaveur des instruments étatiques que vous proposez </w:t>
      </w:r>
    </w:p>
    <w:p w14:paraId="393DD185" w14:textId="77777777" w:rsidR="00C903C9" w:rsidRPr="008C0D96" w:rsidRDefault="00C903C9" w:rsidP="00C903C9">
      <w:pPr>
        <w:rPr>
          <w:rFonts w:cs="Arial"/>
          <w:b/>
          <w:bCs/>
          <w:smallCaps/>
        </w:rPr>
      </w:pPr>
    </w:p>
    <w:p w14:paraId="1D54E960" w14:textId="77777777" w:rsidR="00C903C9" w:rsidRDefault="00C903C9" w:rsidP="00A33B6C">
      <w:pPr>
        <w:rPr>
          <w:rFonts w:cs="Arial"/>
          <w:b/>
          <w:bCs/>
          <w:sz w:val="22"/>
        </w:rPr>
      </w:pPr>
    </w:p>
    <w:p w14:paraId="2F06C532" w14:textId="237C8F78" w:rsidR="00156D7A" w:rsidRPr="00A33B6C" w:rsidRDefault="00156D7A" w:rsidP="00C903C9">
      <w:pPr>
        <w:pStyle w:val="Paragraphedeliste"/>
        <w:numPr>
          <w:ilvl w:val="0"/>
          <w:numId w:val="9"/>
        </w:numPr>
        <w:ind w:left="0" w:firstLine="0"/>
        <w:rPr>
          <w:rFonts w:cs="Arial"/>
          <w:b/>
          <w:bCs/>
          <w:sz w:val="22"/>
        </w:rPr>
      </w:pPr>
      <w:r w:rsidRPr="00A33B6C">
        <w:rPr>
          <w:rFonts w:cs="Arial"/>
          <w:b/>
          <w:bCs/>
          <w:sz w:val="22"/>
        </w:rPr>
        <w:t>Mesures de promotions du don d’organes</w:t>
      </w:r>
      <w:r w:rsidR="00E41C96">
        <w:rPr>
          <w:rFonts w:cs="Arial"/>
          <w:b/>
          <w:bCs/>
          <w:sz w:val="22"/>
        </w:rPr>
        <w:t xml:space="preserve"> auprès des individus</w:t>
      </w:r>
    </w:p>
    <w:p w14:paraId="63DCE586" w14:textId="48E2EC0A" w:rsidR="00156D7A" w:rsidRPr="00A33B6C" w:rsidRDefault="00156D7A" w:rsidP="00C903C9">
      <w:pPr>
        <w:rPr>
          <w:rFonts w:cs="Arial"/>
          <w:b/>
          <w:bCs/>
          <w:sz w:val="22"/>
        </w:rPr>
      </w:pPr>
    </w:p>
    <w:p w14:paraId="448606F0" w14:textId="4AF0083C" w:rsidR="00377A38" w:rsidRPr="00A33B6C" w:rsidRDefault="00377A38" w:rsidP="00C903C9">
      <w:pPr>
        <w:rPr>
          <w:rFonts w:cs="Arial"/>
          <w:sz w:val="22"/>
        </w:rPr>
      </w:pPr>
      <w:r w:rsidRPr="00A33B6C">
        <w:rPr>
          <w:rFonts w:cs="Arial"/>
          <w:sz w:val="22"/>
        </w:rPr>
        <w:t xml:space="preserve">Accorder </w:t>
      </w:r>
      <w:r w:rsidR="00E41C96">
        <w:rPr>
          <w:rFonts w:cs="Arial"/>
          <w:sz w:val="22"/>
        </w:rPr>
        <w:t>des</w:t>
      </w:r>
      <w:r w:rsidRPr="00A33B6C">
        <w:rPr>
          <w:rFonts w:cs="Arial"/>
          <w:sz w:val="22"/>
        </w:rPr>
        <w:t xml:space="preserve"> avantages aux donneurs d’organes</w:t>
      </w:r>
      <w:r w:rsidR="00BF5A61" w:rsidRPr="00A33B6C">
        <w:rPr>
          <w:rFonts w:cs="Arial"/>
          <w:sz w:val="22"/>
        </w:rPr>
        <w:t>,</w:t>
      </w:r>
      <w:r w:rsidRPr="00A33B6C">
        <w:rPr>
          <w:rFonts w:cs="Arial"/>
          <w:sz w:val="22"/>
        </w:rPr>
        <w:t xml:space="preserve"> par rapport à ceux qui ne sont pas disposé</w:t>
      </w:r>
      <w:r w:rsidR="00643F58" w:rsidRPr="00A33B6C">
        <w:rPr>
          <w:rFonts w:cs="Arial"/>
          <w:sz w:val="22"/>
        </w:rPr>
        <w:t>s</w:t>
      </w:r>
      <w:r w:rsidRPr="00A33B6C">
        <w:rPr>
          <w:rFonts w:cs="Arial"/>
          <w:sz w:val="22"/>
        </w:rPr>
        <w:t xml:space="preserve"> à faire un don d’organes</w:t>
      </w:r>
      <w:r w:rsidR="00BF5A61" w:rsidRPr="00A33B6C">
        <w:rPr>
          <w:rFonts w:cs="Arial"/>
          <w:sz w:val="22"/>
        </w:rPr>
        <w:t>,</w:t>
      </w:r>
      <w:r w:rsidRPr="00A33B6C">
        <w:rPr>
          <w:rFonts w:cs="Arial"/>
          <w:sz w:val="22"/>
        </w:rPr>
        <w:t xml:space="preserve"> ou ne se sont pas prononcé</w:t>
      </w:r>
      <w:r w:rsidR="00643F58" w:rsidRPr="00A33B6C">
        <w:rPr>
          <w:rFonts w:cs="Arial"/>
          <w:sz w:val="22"/>
        </w:rPr>
        <w:t>s</w:t>
      </w:r>
      <w:r w:rsidRPr="00A33B6C">
        <w:rPr>
          <w:rFonts w:cs="Arial"/>
          <w:sz w:val="22"/>
        </w:rPr>
        <w:t xml:space="preserve"> en faveur d’un don</w:t>
      </w:r>
      <w:r w:rsidR="00BF5A61" w:rsidRPr="00A33B6C">
        <w:rPr>
          <w:rFonts w:cs="Arial"/>
          <w:sz w:val="22"/>
        </w:rPr>
        <w:t> :</w:t>
      </w:r>
    </w:p>
    <w:p w14:paraId="77111488" w14:textId="77777777" w:rsidR="004569EE" w:rsidRDefault="004569EE" w:rsidP="004569EE">
      <w:pPr>
        <w:pStyle w:val="Paragraphedeliste"/>
        <w:ind w:left="0"/>
        <w:rPr>
          <w:rFonts w:cs="Arial"/>
          <w:sz w:val="22"/>
        </w:rPr>
      </w:pPr>
    </w:p>
    <w:p w14:paraId="26C2F857" w14:textId="77777777" w:rsidR="004569EE" w:rsidRDefault="006B3E38" w:rsidP="004569EE">
      <w:pPr>
        <w:pStyle w:val="Paragraphedeliste"/>
        <w:numPr>
          <w:ilvl w:val="0"/>
          <w:numId w:val="10"/>
        </w:numPr>
        <w:rPr>
          <w:rFonts w:cs="Arial"/>
          <w:sz w:val="22"/>
        </w:rPr>
      </w:pPr>
      <w:r w:rsidRPr="004569EE">
        <w:rPr>
          <w:rFonts w:cs="Arial"/>
          <w:sz w:val="22"/>
        </w:rPr>
        <w:t>accorder la priorité</w:t>
      </w:r>
      <w:r w:rsidR="004569EE" w:rsidRPr="004569EE">
        <w:rPr>
          <w:rFonts w:cs="Arial"/>
          <w:sz w:val="22"/>
        </w:rPr>
        <w:t xml:space="preserve"> comme receveur à celui qui s’engage à être donneur</w:t>
      </w:r>
    </w:p>
    <w:p w14:paraId="58F6B530" w14:textId="244283B2" w:rsidR="00156D7A" w:rsidRPr="004569EE" w:rsidRDefault="004569EE" w:rsidP="004569EE">
      <w:pPr>
        <w:pStyle w:val="Paragraphedeliste"/>
        <w:numPr>
          <w:ilvl w:val="0"/>
          <w:numId w:val="10"/>
        </w:numPr>
        <w:rPr>
          <w:rFonts w:cs="Arial"/>
          <w:sz w:val="22"/>
        </w:rPr>
      </w:pPr>
      <w:r w:rsidRPr="004569EE">
        <w:rPr>
          <w:rFonts w:cs="Arial"/>
          <w:sz w:val="22"/>
        </w:rPr>
        <w:t>b</w:t>
      </w:r>
      <w:r w:rsidR="00377A38" w:rsidRPr="004569EE">
        <w:rPr>
          <w:rFonts w:cs="Arial"/>
          <w:sz w:val="22"/>
        </w:rPr>
        <w:t xml:space="preserve">énéficier </w:t>
      </w:r>
      <w:r w:rsidRPr="004569EE">
        <w:rPr>
          <w:rFonts w:cs="Arial"/>
          <w:sz w:val="22"/>
        </w:rPr>
        <w:t xml:space="preserve">d’avantages pécuniaires, notamment sous la forme </w:t>
      </w:r>
      <w:r w:rsidR="00377A38" w:rsidRPr="004569EE">
        <w:rPr>
          <w:rFonts w:cs="Arial"/>
          <w:sz w:val="22"/>
        </w:rPr>
        <w:t>d’une r</w:t>
      </w:r>
      <w:r w:rsidR="00156D7A" w:rsidRPr="004569EE">
        <w:rPr>
          <w:rFonts w:cs="Arial"/>
          <w:sz w:val="22"/>
        </w:rPr>
        <w:t>éduction de l’impôt sur le revenu</w:t>
      </w:r>
    </w:p>
    <w:p w14:paraId="07FE87FA" w14:textId="70F1AACB" w:rsidR="00156D7A" w:rsidRDefault="00156D7A" w:rsidP="00C903C9">
      <w:pPr>
        <w:rPr>
          <w:rFonts w:cs="Arial"/>
          <w:sz w:val="22"/>
        </w:rPr>
      </w:pPr>
    </w:p>
    <w:p w14:paraId="02321DFE" w14:textId="77777777" w:rsidR="00E41C96" w:rsidRDefault="00E41C96" w:rsidP="00C903C9">
      <w:pPr>
        <w:rPr>
          <w:rFonts w:cs="Arial"/>
          <w:sz w:val="22"/>
        </w:rPr>
      </w:pPr>
    </w:p>
    <w:p w14:paraId="09AA9A64" w14:textId="34044555" w:rsidR="00E41C96" w:rsidRPr="00A33B6C" w:rsidRDefault="00E41C96" w:rsidP="00E41C96">
      <w:pPr>
        <w:pStyle w:val="Paragraphedeliste"/>
        <w:numPr>
          <w:ilvl w:val="0"/>
          <w:numId w:val="9"/>
        </w:numPr>
        <w:ind w:left="0" w:firstLine="0"/>
        <w:rPr>
          <w:rFonts w:cs="Arial"/>
          <w:b/>
          <w:bCs/>
          <w:sz w:val="22"/>
        </w:rPr>
      </w:pPr>
      <w:r>
        <w:rPr>
          <w:rFonts w:cs="Arial"/>
          <w:b/>
          <w:bCs/>
          <w:sz w:val="22"/>
        </w:rPr>
        <w:t xml:space="preserve">Engagement « actif » de la part de la Confédération </w:t>
      </w:r>
      <w:r w:rsidR="00DE7678">
        <w:rPr>
          <w:rFonts w:cs="Arial"/>
          <w:b/>
          <w:bCs/>
          <w:sz w:val="22"/>
        </w:rPr>
        <w:t xml:space="preserve">(art. 35 </w:t>
      </w:r>
      <w:proofErr w:type="spellStart"/>
      <w:r w:rsidR="00DE7678">
        <w:rPr>
          <w:rFonts w:cs="Arial"/>
          <w:b/>
          <w:bCs/>
          <w:sz w:val="22"/>
        </w:rPr>
        <w:t>Cst</w:t>
      </w:r>
      <w:proofErr w:type="spellEnd"/>
      <w:r w:rsidR="00DE7678">
        <w:rPr>
          <w:rFonts w:cs="Arial"/>
          <w:b/>
          <w:bCs/>
          <w:sz w:val="22"/>
        </w:rPr>
        <w:t>)</w:t>
      </w:r>
    </w:p>
    <w:p w14:paraId="6BD75F13" w14:textId="77777777" w:rsidR="00DE7678" w:rsidRDefault="00DE7678" w:rsidP="00DE7678">
      <w:pPr>
        <w:spacing w:before="100" w:beforeAutospacing="1" w:after="100" w:afterAutospacing="1"/>
        <w:jc w:val="left"/>
        <w:rPr>
          <w:rFonts w:ascii="Times New Roman" w:eastAsia="Times New Roman" w:hAnsi="Times New Roman" w:cs="Times New Roman"/>
          <w:sz w:val="24"/>
          <w:szCs w:val="24"/>
          <w:lang w:val="fr-CH" w:eastAsia="fr-FR"/>
        </w:rPr>
      </w:pPr>
      <w:r w:rsidRPr="00DE7678">
        <w:rPr>
          <w:rFonts w:ascii="Times New Roman" w:eastAsia="Times New Roman" w:hAnsi="Times New Roman" w:cs="Times New Roman"/>
          <w:sz w:val="24"/>
          <w:szCs w:val="24"/>
          <w:lang w:val="fr-CH" w:eastAsia="fr-FR"/>
        </w:rPr>
        <w:t>Les droits fondamentaux doivent être réalisés dans l’ensemble de l’ordre juridique.</w:t>
      </w:r>
    </w:p>
    <w:p w14:paraId="76200C6B" w14:textId="358FE1D4" w:rsidR="00DE7678" w:rsidRPr="00DE7678" w:rsidRDefault="00DE7678" w:rsidP="00DE7678">
      <w:pPr>
        <w:spacing w:before="100" w:beforeAutospacing="1" w:after="100" w:afterAutospacing="1"/>
        <w:jc w:val="left"/>
        <w:rPr>
          <w:rFonts w:ascii="Times New Roman" w:eastAsia="Times New Roman" w:hAnsi="Times New Roman" w:cs="Times New Roman"/>
          <w:sz w:val="24"/>
          <w:szCs w:val="24"/>
          <w:lang w:val="fr-CH" w:eastAsia="fr-FR"/>
        </w:rPr>
      </w:pPr>
      <w:r w:rsidRPr="00DE7678">
        <w:rPr>
          <w:rFonts w:ascii="Times New Roman" w:eastAsia="Times New Roman" w:hAnsi="Times New Roman" w:cs="Times New Roman"/>
          <w:sz w:val="24"/>
          <w:szCs w:val="24"/>
          <w:lang w:val="fr-CH" w:eastAsia="fr-FR"/>
        </w:rPr>
        <w:t>Quiconque assume une tâche de l’État est tenu de respecter les droits fondamentaux et de contribuer à leur réalisation.</w:t>
      </w:r>
    </w:p>
    <w:p w14:paraId="35709579" w14:textId="29A6ACED" w:rsidR="00E41C96" w:rsidRPr="00DE7678" w:rsidRDefault="00E41C96" w:rsidP="00C903C9">
      <w:pPr>
        <w:rPr>
          <w:rFonts w:cs="Arial"/>
          <w:sz w:val="22"/>
          <w:lang w:val="fr-CH"/>
        </w:rPr>
      </w:pPr>
    </w:p>
    <w:p w14:paraId="61E55E12" w14:textId="60630261" w:rsidR="00E41C96" w:rsidRDefault="00E41C96" w:rsidP="00C903C9">
      <w:pPr>
        <w:rPr>
          <w:rFonts w:cs="Arial"/>
          <w:sz w:val="22"/>
        </w:rPr>
      </w:pPr>
      <w:r>
        <w:rPr>
          <w:rFonts w:cs="Arial"/>
          <w:sz w:val="22"/>
        </w:rPr>
        <w:t xml:space="preserve">A ce stade, les campagnes d’information en faveur du don d’organe sont rares d’une part, timorées d’autre part : ainsi, on constate des affiches beaucoup plus percutantes en matière de prévention du sida, ciblant des populations particulières (personnes âgées, homosexuels), nonobstant la réprobation de certains milieux conservateurs. </w:t>
      </w:r>
    </w:p>
    <w:p w14:paraId="515F26F8" w14:textId="4A66C8DE" w:rsidR="003F2E96" w:rsidRDefault="003F2E96" w:rsidP="00C903C9">
      <w:pPr>
        <w:rPr>
          <w:rFonts w:cs="Arial"/>
          <w:sz w:val="22"/>
        </w:rPr>
      </w:pPr>
    </w:p>
    <w:p w14:paraId="6434BF25" w14:textId="35738D83" w:rsidR="003F2E96" w:rsidRDefault="003F2E96" w:rsidP="00C903C9">
      <w:pPr>
        <w:rPr>
          <w:rFonts w:cs="Arial"/>
          <w:sz w:val="22"/>
        </w:rPr>
      </w:pPr>
      <w:r>
        <w:rPr>
          <w:rFonts w:cs="Arial"/>
          <w:sz w:val="22"/>
        </w:rPr>
        <w:t xml:space="preserve">Lorsqu’on voit certaines vidéos du Bureau de prévention des accidents (BPA), dont l’une met en scène un jeune qui se fait renverser par une voiture sous les yeux des passants, on se dit </w:t>
      </w:r>
      <w:r w:rsidR="004569EE">
        <w:rPr>
          <w:rFonts w:cs="Arial"/>
          <w:sz w:val="22"/>
        </w:rPr>
        <w:t xml:space="preserve">que des campagnes prenant davantage parti seraient judicieuses. </w:t>
      </w:r>
    </w:p>
    <w:p w14:paraId="2D08B9F0" w14:textId="77777777" w:rsidR="004569EE" w:rsidRDefault="004569EE" w:rsidP="00C903C9">
      <w:pPr>
        <w:rPr>
          <w:rFonts w:cs="Arial"/>
          <w:sz w:val="22"/>
        </w:rPr>
      </w:pPr>
    </w:p>
    <w:p w14:paraId="4B3D24FE" w14:textId="77777777" w:rsidR="00E41C96" w:rsidRPr="00A33B6C" w:rsidRDefault="00E41C96" w:rsidP="00C903C9">
      <w:pPr>
        <w:rPr>
          <w:rFonts w:cs="Arial"/>
          <w:sz w:val="22"/>
        </w:rPr>
      </w:pPr>
    </w:p>
    <w:p w14:paraId="6E5F8FDA" w14:textId="6557E405" w:rsidR="00156D7A" w:rsidRPr="00A33B6C" w:rsidRDefault="00156D7A" w:rsidP="00C903C9">
      <w:pPr>
        <w:pStyle w:val="Paragraphedeliste"/>
        <w:numPr>
          <w:ilvl w:val="0"/>
          <w:numId w:val="9"/>
        </w:numPr>
        <w:ind w:left="0" w:firstLine="0"/>
        <w:rPr>
          <w:rFonts w:cs="Arial"/>
          <w:b/>
          <w:bCs/>
          <w:sz w:val="22"/>
        </w:rPr>
      </w:pPr>
      <w:r w:rsidRPr="00A33B6C">
        <w:rPr>
          <w:rFonts w:cs="Arial"/>
          <w:b/>
          <w:bCs/>
          <w:sz w:val="22"/>
        </w:rPr>
        <w:t>Arguments juridiques pour et contre lesdites mesures</w:t>
      </w:r>
    </w:p>
    <w:p w14:paraId="77D37DFD" w14:textId="07953B84" w:rsidR="006B3E38" w:rsidRPr="00A33B6C" w:rsidRDefault="006B3E38" w:rsidP="00C903C9">
      <w:pPr>
        <w:pStyle w:val="Paragraphedeliste"/>
        <w:ind w:left="0"/>
        <w:rPr>
          <w:rFonts w:cs="Arial"/>
          <w:b/>
          <w:bCs/>
          <w:sz w:val="22"/>
        </w:rPr>
      </w:pPr>
    </w:p>
    <w:p w14:paraId="6182D723" w14:textId="77777777" w:rsidR="005D6814" w:rsidRDefault="00BF5A61" w:rsidP="00C903C9">
      <w:pPr>
        <w:pStyle w:val="Paragraphedeliste"/>
        <w:ind w:left="0"/>
        <w:rPr>
          <w:rFonts w:cs="Arial"/>
          <w:sz w:val="22"/>
        </w:rPr>
      </w:pPr>
      <w:r w:rsidRPr="00A33B6C">
        <w:rPr>
          <w:rFonts w:cs="Arial"/>
          <w:sz w:val="22"/>
        </w:rPr>
        <w:t>Etant donnée que l’allocation d’organes est une activité étatique</w:t>
      </w:r>
      <w:r w:rsidRPr="00A33B6C">
        <w:rPr>
          <w:rStyle w:val="Appelnotedebasdep"/>
          <w:rFonts w:cs="Arial"/>
          <w:sz w:val="22"/>
        </w:rPr>
        <w:footnoteReference w:id="3"/>
      </w:r>
      <w:r w:rsidRPr="00A33B6C">
        <w:rPr>
          <w:rFonts w:cs="Arial"/>
          <w:sz w:val="22"/>
        </w:rPr>
        <w:t xml:space="preserve"> le respect des droits fondamentaux</w:t>
      </w:r>
      <w:r w:rsidR="005D6814">
        <w:rPr>
          <w:rFonts w:cs="Arial"/>
          <w:sz w:val="22"/>
        </w:rPr>
        <w:t xml:space="preserve"> </w:t>
      </w:r>
      <w:r w:rsidRPr="00A33B6C">
        <w:rPr>
          <w:rFonts w:cs="Arial"/>
          <w:sz w:val="22"/>
        </w:rPr>
        <w:t>de la Constitution fédérale sont opposables à l’</w:t>
      </w:r>
      <w:proofErr w:type="spellStart"/>
      <w:r w:rsidRPr="00A33B6C">
        <w:rPr>
          <w:rFonts w:cs="Arial"/>
          <w:sz w:val="22"/>
        </w:rPr>
        <w:t>Etat</w:t>
      </w:r>
      <w:proofErr w:type="spellEnd"/>
      <w:r w:rsidR="004569EE">
        <w:rPr>
          <w:rFonts w:cs="Arial"/>
          <w:sz w:val="22"/>
        </w:rPr>
        <w:t>,</w:t>
      </w:r>
      <w:r w:rsidRPr="00A33B6C">
        <w:rPr>
          <w:rFonts w:cs="Arial"/>
          <w:sz w:val="22"/>
        </w:rPr>
        <w:t xml:space="preserve"> voire celui qui le représente. </w:t>
      </w:r>
    </w:p>
    <w:p w14:paraId="35E7F026" w14:textId="77777777" w:rsidR="005D6814" w:rsidRDefault="005D6814" w:rsidP="00C903C9">
      <w:pPr>
        <w:pStyle w:val="Paragraphedeliste"/>
        <w:ind w:left="0"/>
        <w:rPr>
          <w:rFonts w:cs="Arial"/>
          <w:sz w:val="22"/>
        </w:rPr>
      </w:pPr>
    </w:p>
    <w:p w14:paraId="75105A78" w14:textId="588BAB82" w:rsidR="005D6814" w:rsidRDefault="00BF5A61" w:rsidP="00C903C9">
      <w:pPr>
        <w:pStyle w:val="Paragraphedeliste"/>
        <w:ind w:left="0"/>
        <w:rPr>
          <w:rFonts w:cs="Arial"/>
          <w:sz w:val="22"/>
        </w:rPr>
      </w:pPr>
      <w:r w:rsidRPr="00A33B6C">
        <w:rPr>
          <w:rFonts w:cs="Arial"/>
          <w:sz w:val="22"/>
        </w:rPr>
        <w:t>En l’espèce, le</w:t>
      </w:r>
      <w:r w:rsidR="008A435F" w:rsidRPr="00A33B6C">
        <w:rPr>
          <w:rFonts w:cs="Arial"/>
          <w:sz w:val="22"/>
        </w:rPr>
        <w:t>s</w:t>
      </w:r>
      <w:r w:rsidRPr="00A33B6C">
        <w:rPr>
          <w:rFonts w:cs="Arial"/>
          <w:sz w:val="22"/>
        </w:rPr>
        <w:t xml:space="preserve"> droit</w:t>
      </w:r>
      <w:r w:rsidR="008A435F" w:rsidRPr="00A33B6C">
        <w:rPr>
          <w:rFonts w:cs="Arial"/>
          <w:sz w:val="22"/>
        </w:rPr>
        <w:t>s</w:t>
      </w:r>
      <w:r w:rsidRPr="00A33B6C">
        <w:rPr>
          <w:rFonts w:cs="Arial"/>
          <w:sz w:val="22"/>
        </w:rPr>
        <w:t xml:space="preserve"> fondamenta</w:t>
      </w:r>
      <w:r w:rsidR="008A435F" w:rsidRPr="00A33B6C">
        <w:rPr>
          <w:rFonts w:cs="Arial"/>
          <w:sz w:val="22"/>
        </w:rPr>
        <w:t>ux</w:t>
      </w:r>
      <w:r w:rsidRPr="00A33B6C">
        <w:rPr>
          <w:rFonts w:cs="Arial"/>
          <w:sz w:val="22"/>
        </w:rPr>
        <w:t xml:space="preserve"> concerné</w:t>
      </w:r>
      <w:r w:rsidR="008A435F" w:rsidRPr="00A33B6C">
        <w:rPr>
          <w:rFonts w:cs="Arial"/>
          <w:sz w:val="22"/>
        </w:rPr>
        <w:t>s</w:t>
      </w:r>
      <w:r w:rsidRPr="00A33B6C">
        <w:rPr>
          <w:rFonts w:cs="Arial"/>
          <w:sz w:val="22"/>
        </w:rPr>
        <w:t xml:space="preserve"> </w:t>
      </w:r>
      <w:r w:rsidR="008A435F" w:rsidRPr="00A33B6C">
        <w:rPr>
          <w:rFonts w:cs="Arial"/>
          <w:sz w:val="22"/>
        </w:rPr>
        <w:t>sont</w:t>
      </w:r>
      <w:r w:rsidRPr="00A33B6C">
        <w:rPr>
          <w:rFonts w:cs="Arial"/>
          <w:sz w:val="22"/>
        </w:rPr>
        <w:t xml:space="preserve"> </w:t>
      </w:r>
    </w:p>
    <w:p w14:paraId="013F7A5D" w14:textId="77777777" w:rsidR="005D6814" w:rsidRDefault="005D6814" w:rsidP="00C903C9">
      <w:pPr>
        <w:pStyle w:val="Paragraphedeliste"/>
        <w:ind w:left="0"/>
        <w:rPr>
          <w:rFonts w:cs="Arial"/>
          <w:sz w:val="22"/>
        </w:rPr>
      </w:pPr>
    </w:p>
    <w:p w14:paraId="737CB177" w14:textId="7B45F6FB" w:rsidR="005D6814" w:rsidRDefault="005D6814" w:rsidP="005D6814">
      <w:pPr>
        <w:pStyle w:val="Paragraphedeliste"/>
        <w:numPr>
          <w:ilvl w:val="0"/>
          <w:numId w:val="27"/>
        </w:numPr>
        <w:rPr>
          <w:rFonts w:cs="Arial"/>
          <w:sz w:val="22"/>
        </w:rPr>
      </w:pPr>
      <w:r>
        <w:rPr>
          <w:rFonts w:cs="Arial"/>
          <w:sz w:val="22"/>
        </w:rPr>
        <w:t xml:space="preserve">L’égalité de traitement (art. 8 </w:t>
      </w:r>
      <w:proofErr w:type="spellStart"/>
      <w:r>
        <w:rPr>
          <w:rFonts w:cs="Arial"/>
          <w:sz w:val="22"/>
        </w:rPr>
        <w:t>Cst</w:t>
      </w:r>
      <w:proofErr w:type="spellEnd"/>
      <w:r>
        <w:rPr>
          <w:rFonts w:cs="Arial"/>
          <w:sz w:val="22"/>
        </w:rPr>
        <w:t>) : il serait discriminatoire d’accorder un organe prioritairement à celui qui entend être donneur, seuls des critères médicaux doivent décider de cette allocation : l’art. 17 loi sur la transplantation indique d’ailleurs que « </w:t>
      </w:r>
      <w:r w:rsidRPr="005D6814">
        <w:rPr>
          <w:rFonts w:cs="Arial"/>
          <w:i/>
          <w:iCs/>
          <w:sz w:val="22"/>
        </w:rPr>
        <w:t>lors de l’attribution d’un organe, nul ne doit être discriminé</w:t>
      </w:r>
      <w:r>
        <w:rPr>
          <w:rFonts w:cs="Arial"/>
          <w:sz w:val="22"/>
        </w:rPr>
        <w:t xml:space="preserve"> ». </w:t>
      </w:r>
    </w:p>
    <w:p w14:paraId="4620FA0A" w14:textId="77777777" w:rsidR="005D6814" w:rsidRDefault="005D6814" w:rsidP="005D6814">
      <w:pPr>
        <w:pStyle w:val="Paragraphedeliste"/>
        <w:rPr>
          <w:rFonts w:cs="Arial"/>
          <w:sz w:val="22"/>
        </w:rPr>
      </w:pPr>
    </w:p>
    <w:p w14:paraId="2CAA6614" w14:textId="4C413C45" w:rsidR="005D6814" w:rsidRDefault="005D6814" w:rsidP="005D6814">
      <w:pPr>
        <w:pStyle w:val="Paragraphedeliste"/>
        <w:numPr>
          <w:ilvl w:val="0"/>
          <w:numId w:val="27"/>
        </w:numPr>
        <w:rPr>
          <w:rFonts w:cs="Arial"/>
          <w:sz w:val="22"/>
        </w:rPr>
      </w:pPr>
      <w:r>
        <w:rPr>
          <w:rFonts w:cs="Arial"/>
          <w:sz w:val="22"/>
        </w:rPr>
        <w:t>La liberté de conscience et croyance (ar</w:t>
      </w:r>
      <w:r w:rsidRPr="005D6814">
        <w:rPr>
          <w:rFonts w:cs="Arial"/>
          <w:sz w:val="22"/>
        </w:rPr>
        <w:t xml:space="preserve">t. 15 </w:t>
      </w:r>
      <w:proofErr w:type="spellStart"/>
      <w:r w:rsidRPr="005D6814">
        <w:rPr>
          <w:rFonts w:cs="Arial"/>
          <w:sz w:val="22"/>
        </w:rPr>
        <w:t>Cst</w:t>
      </w:r>
      <w:proofErr w:type="spellEnd"/>
      <w:r w:rsidRPr="005D6814">
        <w:rPr>
          <w:rFonts w:cs="Arial"/>
          <w:sz w:val="22"/>
        </w:rPr>
        <w:t xml:space="preserve">), chacun devant rester libre d’avoir sa « Weltanschauung » </w:t>
      </w:r>
      <w:r w:rsidR="008A435F" w:rsidRPr="005D6814">
        <w:rPr>
          <w:rFonts w:cs="Arial"/>
          <w:sz w:val="22"/>
        </w:rPr>
        <w:t xml:space="preserve">et </w:t>
      </w:r>
    </w:p>
    <w:p w14:paraId="7DB1FD80" w14:textId="77777777" w:rsidR="005D6814" w:rsidRPr="005D6814" w:rsidRDefault="005D6814" w:rsidP="005D6814">
      <w:pPr>
        <w:rPr>
          <w:rFonts w:cs="Arial"/>
          <w:sz w:val="22"/>
        </w:rPr>
      </w:pPr>
    </w:p>
    <w:p w14:paraId="660AF819" w14:textId="755C150A" w:rsidR="00BF5A61" w:rsidRDefault="005D6814" w:rsidP="005D6814">
      <w:pPr>
        <w:pStyle w:val="Paragraphedeliste"/>
        <w:numPr>
          <w:ilvl w:val="0"/>
          <w:numId w:val="27"/>
        </w:numPr>
        <w:rPr>
          <w:rFonts w:cs="Arial"/>
          <w:sz w:val="22"/>
        </w:rPr>
      </w:pPr>
      <w:r>
        <w:rPr>
          <w:rFonts w:cs="Arial"/>
          <w:sz w:val="22"/>
        </w:rPr>
        <w:t xml:space="preserve">La liberté personnelle (art 10 </w:t>
      </w:r>
      <w:proofErr w:type="spellStart"/>
      <w:r>
        <w:rPr>
          <w:rFonts w:cs="Arial"/>
          <w:sz w:val="22"/>
        </w:rPr>
        <w:t>Cst</w:t>
      </w:r>
      <w:proofErr w:type="spellEnd"/>
      <w:r>
        <w:rPr>
          <w:rFonts w:cs="Arial"/>
          <w:sz w:val="22"/>
        </w:rPr>
        <w:t xml:space="preserve">) </w:t>
      </w:r>
    </w:p>
    <w:p w14:paraId="1F30D5FB" w14:textId="77777777" w:rsidR="004569EE" w:rsidRPr="00A33B6C" w:rsidRDefault="004569EE" w:rsidP="00C903C9">
      <w:pPr>
        <w:pStyle w:val="Paragraphedeliste"/>
        <w:ind w:left="0"/>
        <w:rPr>
          <w:rFonts w:cs="Arial"/>
          <w:sz w:val="22"/>
        </w:rPr>
      </w:pPr>
    </w:p>
    <w:p w14:paraId="743B165C" w14:textId="1DBEE931" w:rsidR="0070196C" w:rsidRPr="00A33B6C" w:rsidRDefault="005D6814" w:rsidP="00C903C9">
      <w:pPr>
        <w:pStyle w:val="Paragraphedeliste"/>
        <w:ind w:left="0"/>
        <w:rPr>
          <w:rFonts w:cs="Arial"/>
          <w:b/>
          <w:bCs/>
          <w:sz w:val="22"/>
        </w:rPr>
      </w:pPr>
      <w:r w:rsidRPr="005D6814">
        <w:rPr>
          <w:rFonts w:cs="Arial"/>
          <w:sz w:val="22"/>
        </w:rPr>
        <w:lastRenderedPageBreak/>
        <w:t>Dans l’absolu</w:t>
      </w:r>
      <w:r w:rsidR="00BF5A61" w:rsidRPr="005D6814">
        <w:rPr>
          <w:rFonts w:cs="Arial"/>
          <w:sz w:val="22"/>
        </w:rPr>
        <w:t>,</w:t>
      </w:r>
      <w:r w:rsidR="00BF5A61" w:rsidRPr="00A33B6C">
        <w:rPr>
          <w:rFonts w:cs="Arial"/>
          <w:sz w:val="22"/>
        </w:rPr>
        <w:t xml:space="preserve"> </w:t>
      </w:r>
      <w:r w:rsidR="008A435F" w:rsidRPr="00A33B6C">
        <w:rPr>
          <w:rFonts w:cs="Arial"/>
          <w:sz w:val="22"/>
        </w:rPr>
        <w:t>un</w:t>
      </w:r>
      <w:r w:rsidR="0070196C" w:rsidRPr="00A33B6C">
        <w:rPr>
          <w:rFonts w:cs="Arial"/>
          <w:sz w:val="22"/>
        </w:rPr>
        <w:t xml:space="preserve"> </w:t>
      </w:r>
      <w:r w:rsidR="00BF5A61" w:rsidRPr="00A33B6C">
        <w:rPr>
          <w:rFonts w:cs="Arial"/>
          <w:sz w:val="22"/>
        </w:rPr>
        <w:t xml:space="preserve">droit fondamental peut être restreint conformément aux </w:t>
      </w:r>
      <w:r w:rsidR="0070196C" w:rsidRPr="00A33B6C">
        <w:rPr>
          <w:rFonts w:cs="Arial"/>
          <w:sz w:val="22"/>
        </w:rPr>
        <w:t xml:space="preserve">exigences de l’art. 36 </w:t>
      </w:r>
      <w:proofErr w:type="spellStart"/>
      <w:r w:rsidR="0070196C" w:rsidRPr="00A33B6C">
        <w:rPr>
          <w:rFonts w:cs="Arial"/>
          <w:sz w:val="22"/>
        </w:rPr>
        <w:t>Cst</w:t>
      </w:r>
      <w:proofErr w:type="spellEnd"/>
      <w:r w:rsidR="0070196C" w:rsidRPr="00A33B6C">
        <w:rPr>
          <w:rStyle w:val="Appelnotedebasdep"/>
          <w:rFonts w:cs="Arial"/>
          <w:sz w:val="22"/>
        </w:rPr>
        <w:footnoteReference w:id="4"/>
      </w:r>
      <w:r>
        <w:rPr>
          <w:rFonts w:cs="Arial"/>
          <w:sz w:val="22"/>
        </w:rPr>
        <w:t xml:space="preserve">, les chances d’acceptation par la population d’une telle modification de la loi sur la transplantation basée sur « priorité aux donneurs » sont nulles, même si l’existence d’un intérêt public important n’est plus à prouver. </w:t>
      </w:r>
    </w:p>
    <w:p w14:paraId="357B435C" w14:textId="77777777" w:rsidR="0070196C" w:rsidRPr="00A33B6C" w:rsidRDefault="0070196C" w:rsidP="00C903C9">
      <w:pPr>
        <w:pStyle w:val="Paragraphedeliste"/>
        <w:ind w:left="0"/>
        <w:rPr>
          <w:rFonts w:cs="Arial"/>
          <w:b/>
          <w:bCs/>
          <w:sz w:val="22"/>
        </w:rPr>
      </w:pPr>
    </w:p>
    <w:p w14:paraId="75923DE4" w14:textId="76458F25" w:rsidR="00995F13" w:rsidRDefault="005D6814" w:rsidP="00C903C9">
      <w:pPr>
        <w:pStyle w:val="Paragraphedeliste"/>
        <w:ind w:left="0"/>
        <w:rPr>
          <w:rFonts w:cs="Arial"/>
          <w:sz w:val="22"/>
        </w:rPr>
      </w:pPr>
      <w:r w:rsidRPr="005D6814">
        <w:rPr>
          <w:rFonts w:cs="Arial"/>
          <w:sz w:val="22"/>
        </w:rPr>
        <w:t>L’octroi d’avantages pécuniaires</w:t>
      </w:r>
      <w:r>
        <w:rPr>
          <w:rFonts w:cs="Arial"/>
          <w:sz w:val="22"/>
        </w:rPr>
        <w:t xml:space="preserve">, notamment sous forme de réduction d’impôts, conduirait à nouveau à une inégalité de traitement, cette fois-ci entre « riches et pauvres » et ne serait une mesure incitative qu’à l’encontre des personnes dont le substrat fiscal est important. </w:t>
      </w:r>
    </w:p>
    <w:p w14:paraId="3F0C61F7" w14:textId="77777777" w:rsidR="005D6814" w:rsidRPr="005D6814" w:rsidRDefault="005D6814" w:rsidP="00C903C9">
      <w:pPr>
        <w:pStyle w:val="Paragraphedeliste"/>
        <w:ind w:left="0"/>
        <w:rPr>
          <w:rFonts w:cs="Arial"/>
          <w:sz w:val="22"/>
        </w:rPr>
      </w:pPr>
    </w:p>
    <w:p w14:paraId="41ECB101" w14:textId="1A37E399" w:rsidR="00995F13" w:rsidRDefault="005D6814" w:rsidP="00C903C9">
      <w:pPr>
        <w:pStyle w:val="Paragraphedeliste"/>
        <w:ind w:left="0"/>
        <w:rPr>
          <w:rFonts w:cs="Arial"/>
          <w:sz w:val="22"/>
        </w:rPr>
      </w:pPr>
      <w:r w:rsidRPr="005D6814">
        <w:rPr>
          <w:rFonts w:cs="Arial"/>
          <w:sz w:val="22"/>
        </w:rPr>
        <w:t xml:space="preserve">Finalement, </w:t>
      </w:r>
      <w:r>
        <w:rPr>
          <w:rFonts w:cs="Arial"/>
          <w:sz w:val="22"/>
        </w:rPr>
        <w:t xml:space="preserve">à ce jour, la loi sur la transplantation indique que le don doit être gratuit (art. 6 loi sur la transplantation). </w:t>
      </w:r>
    </w:p>
    <w:p w14:paraId="6D232B03" w14:textId="79360866" w:rsidR="005D6814" w:rsidRDefault="005D6814" w:rsidP="00C903C9">
      <w:pPr>
        <w:pStyle w:val="Paragraphedeliste"/>
        <w:ind w:left="0"/>
        <w:rPr>
          <w:rFonts w:cs="Arial"/>
          <w:sz w:val="22"/>
        </w:rPr>
      </w:pPr>
    </w:p>
    <w:p w14:paraId="28ED2A11" w14:textId="7F2AD7B1" w:rsidR="005D6814" w:rsidRDefault="005D6814" w:rsidP="00C903C9">
      <w:pPr>
        <w:pStyle w:val="Paragraphedeliste"/>
        <w:ind w:left="0"/>
        <w:rPr>
          <w:rFonts w:cs="Arial"/>
          <w:sz w:val="22"/>
        </w:rPr>
      </w:pPr>
      <w:r>
        <w:rPr>
          <w:rFonts w:cs="Arial"/>
          <w:sz w:val="22"/>
        </w:rPr>
        <w:t xml:space="preserve">En résumé, pour introduire les deux mesures incitatives proposées, il conviendrait de modifier la loi, ce qui conduirait à mon sens à un référendum, le sujet étant sensible. </w:t>
      </w:r>
    </w:p>
    <w:p w14:paraId="29A19C56" w14:textId="37F74C9C" w:rsidR="005D6814" w:rsidRDefault="005D6814" w:rsidP="00C903C9">
      <w:pPr>
        <w:pStyle w:val="Paragraphedeliste"/>
        <w:ind w:left="0"/>
        <w:rPr>
          <w:rFonts w:cs="Arial"/>
          <w:sz w:val="22"/>
        </w:rPr>
      </w:pPr>
    </w:p>
    <w:p w14:paraId="2542CD72" w14:textId="650A56FF" w:rsidR="005D6814" w:rsidRPr="005D6814" w:rsidRDefault="005D6814" w:rsidP="00C903C9">
      <w:pPr>
        <w:pStyle w:val="Paragraphedeliste"/>
        <w:ind w:left="0"/>
        <w:rPr>
          <w:rFonts w:cs="Arial"/>
          <w:sz w:val="22"/>
        </w:rPr>
      </w:pPr>
      <w:r>
        <w:rPr>
          <w:rFonts w:cs="Arial"/>
          <w:sz w:val="22"/>
        </w:rPr>
        <w:t xml:space="preserve">Il reste donc l’espoir que la Confédération s’engage comme elle l’a fait pour d’autres mesures de prévention et de santé publique. </w:t>
      </w:r>
    </w:p>
    <w:p w14:paraId="0D278B9D" w14:textId="3A56DE3C" w:rsidR="00995F13" w:rsidRPr="00A33B6C" w:rsidRDefault="00995F13" w:rsidP="00C903C9">
      <w:pPr>
        <w:pStyle w:val="Paragraphedeliste"/>
        <w:ind w:left="0"/>
        <w:rPr>
          <w:rFonts w:cs="Arial"/>
          <w:b/>
          <w:bCs/>
          <w:sz w:val="22"/>
        </w:rPr>
      </w:pPr>
    </w:p>
    <w:p w14:paraId="335452D1" w14:textId="4004C6E8" w:rsidR="00377A38" w:rsidRPr="00A33B6C" w:rsidRDefault="00377A38" w:rsidP="00C903C9">
      <w:pPr>
        <w:pStyle w:val="Paragraphedeliste"/>
        <w:ind w:left="0"/>
        <w:rPr>
          <w:rFonts w:cs="Arial"/>
          <w:sz w:val="22"/>
        </w:rPr>
      </w:pPr>
    </w:p>
    <w:sectPr w:rsidR="00377A38" w:rsidRPr="00A33B6C" w:rsidSect="003C5DC7">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D9FDC" w14:textId="77777777" w:rsidR="00841E60" w:rsidRDefault="00841E60" w:rsidP="0012550F">
      <w:r>
        <w:separator/>
      </w:r>
    </w:p>
  </w:endnote>
  <w:endnote w:type="continuationSeparator" w:id="0">
    <w:p w14:paraId="073F5CAC" w14:textId="77777777" w:rsidR="00841E60" w:rsidRDefault="00841E60" w:rsidP="001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154950"/>
      <w:docPartObj>
        <w:docPartGallery w:val="Page Numbers (Bottom of Page)"/>
        <w:docPartUnique/>
      </w:docPartObj>
    </w:sdtPr>
    <w:sdtEndPr/>
    <w:sdtContent>
      <w:p w14:paraId="40BDE879" w14:textId="306AD6C6" w:rsidR="003965B7" w:rsidRDefault="003965B7">
        <w:pPr>
          <w:pStyle w:val="Pieddepage"/>
          <w:jc w:val="right"/>
        </w:pPr>
        <w:r>
          <w:fldChar w:fldCharType="begin"/>
        </w:r>
        <w:r>
          <w:instrText>PAGE   \* MERGEFORMAT</w:instrText>
        </w:r>
        <w:r>
          <w:fldChar w:fldCharType="separate"/>
        </w:r>
        <w:r>
          <w:t>2</w:t>
        </w:r>
        <w:r>
          <w:fldChar w:fldCharType="end"/>
        </w:r>
      </w:p>
    </w:sdtContent>
  </w:sdt>
  <w:p w14:paraId="342ADBBD" w14:textId="77777777" w:rsidR="003965B7" w:rsidRDefault="003965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B99F9" w14:textId="77777777" w:rsidR="00841E60" w:rsidRDefault="00841E60" w:rsidP="0012550F">
      <w:r>
        <w:separator/>
      </w:r>
    </w:p>
  </w:footnote>
  <w:footnote w:type="continuationSeparator" w:id="0">
    <w:p w14:paraId="1F743BFA" w14:textId="77777777" w:rsidR="00841E60" w:rsidRDefault="00841E60" w:rsidP="0012550F">
      <w:r>
        <w:continuationSeparator/>
      </w:r>
    </w:p>
  </w:footnote>
  <w:footnote w:id="1">
    <w:p w14:paraId="5801C48C" w14:textId="3058A0E4" w:rsidR="00A34364" w:rsidRDefault="00A34364" w:rsidP="00A34364">
      <w:pPr>
        <w:pStyle w:val="Notedebasdepage"/>
      </w:pPr>
      <w:r>
        <w:rPr>
          <w:rStyle w:val="Appelnotedebasdep"/>
        </w:rPr>
        <w:footnoteRef/>
      </w:r>
      <w:r>
        <w:t xml:space="preserve"> </w:t>
      </w:r>
      <w:r w:rsidRPr="00A34364">
        <w:rPr>
          <w:sz w:val="16"/>
          <w:szCs w:val="16"/>
        </w:rPr>
        <w:t xml:space="preserve">Ou </w:t>
      </w:r>
      <w:r w:rsidR="00BF5A61">
        <w:rPr>
          <w:sz w:val="16"/>
          <w:szCs w:val="16"/>
        </w:rPr>
        <w:t>« </w:t>
      </w:r>
      <w:r w:rsidRPr="00A34364">
        <w:rPr>
          <w:i/>
          <w:iCs/>
          <w:sz w:val="16"/>
          <w:szCs w:val="16"/>
        </w:rPr>
        <w:t>une défaillance irréversible du cerveau</w:t>
      </w:r>
      <w:r w:rsidR="00BF5A61">
        <w:rPr>
          <w:i/>
          <w:iCs/>
          <w:sz w:val="16"/>
          <w:szCs w:val="16"/>
        </w:rPr>
        <w:t> »</w:t>
      </w:r>
    </w:p>
  </w:footnote>
  <w:footnote w:id="2">
    <w:p w14:paraId="1D911B16" w14:textId="03B73BA7" w:rsidR="00BF5A61" w:rsidRDefault="00BF5A61">
      <w:pPr>
        <w:pStyle w:val="Notedebasdepage"/>
      </w:pPr>
      <w:r>
        <w:rPr>
          <w:rStyle w:val="Appelnotedebasdep"/>
        </w:rPr>
        <w:footnoteRef/>
      </w:r>
      <w:r>
        <w:t xml:space="preserve"> </w:t>
      </w:r>
      <w:r w:rsidRPr="00BF5A61">
        <w:rPr>
          <w:sz w:val="16"/>
          <w:szCs w:val="16"/>
        </w:rPr>
        <w:t>Voir son Annexe C</w:t>
      </w:r>
    </w:p>
  </w:footnote>
  <w:footnote w:id="3">
    <w:p w14:paraId="2BCB0B1D" w14:textId="2DE71C68" w:rsidR="00BF5A61" w:rsidRDefault="00BF5A61" w:rsidP="00BF5A61">
      <w:pPr>
        <w:pStyle w:val="Notedebasdepage"/>
      </w:pPr>
      <w:r>
        <w:rPr>
          <w:rStyle w:val="Appelnotedebasdep"/>
        </w:rPr>
        <w:footnoteRef/>
      </w:r>
      <w:r>
        <w:t xml:space="preserve"> </w:t>
      </w:r>
      <w:r w:rsidRPr="00203804">
        <w:rPr>
          <w:sz w:val="16"/>
          <w:szCs w:val="16"/>
        </w:rPr>
        <w:t xml:space="preserve">D’où l’instauration par la </w:t>
      </w:r>
      <w:r w:rsidR="005D6814">
        <w:rPr>
          <w:sz w:val="16"/>
          <w:szCs w:val="16"/>
        </w:rPr>
        <w:t xml:space="preserve">loi sur la transplantation </w:t>
      </w:r>
      <w:r w:rsidRPr="00203804">
        <w:rPr>
          <w:sz w:val="16"/>
          <w:szCs w:val="16"/>
        </w:rPr>
        <w:t>d’un service national d’attributions (art. 19)</w:t>
      </w:r>
    </w:p>
  </w:footnote>
  <w:footnote w:id="4">
    <w:p w14:paraId="547460A9" w14:textId="5875CD6E" w:rsidR="0070196C" w:rsidRDefault="0070196C">
      <w:pPr>
        <w:pStyle w:val="Notedebasdepage"/>
      </w:pPr>
      <w:r>
        <w:rPr>
          <w:rStyle w:val="Appelnotedebasdep"/>
        </w:rPr>
        <w:footnoteRef/>
      </w:r>
      <w:r>
        <w:t xml:space="preserve"> </w:t>
      </w:r>
      <w:r w:rsidRPr="0070196C">
        <w:rPr>
          <w:sz w:val="16"/>
          <w:szCs w:val="16"/>
        </w:rPr>
        <w:t xml:space="preserve">Critères pour restreindre un droit fondamental.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E8CE" w14:textId="2532090D" w:rsidR="00CC6457" w:rsidRPr="00506BB0" w:rsidRDefault="00CC6457" w:rsidP="00CC6457">
    <w:pPr>
      <w:pStyle w:val="En-tte"/>
      <w:ind w:left="4678"/>
      <w:jc w:val="right"/>
      <w:rPr>
        <w:szCs w:val="20"/>
        <w:lang w:val="fr-CH"/>
      </w:rPr>
    </w:pPr>
    <w:r w:rsidRPr="00506BB0">
      <w:rPr>
        <w:szCs w:val="20"/>
        <w:lang w:val="fr-CH"/>
      </w:rPr>
      <w:t>CAS droit des patients et santé publi</w:t>
    </w:r>
    <w:r>
      <w:rPr>
        <w:szCs w:val="20"/>
        <w:lang w:val="fr-CH"/>
      </w:rPr>
      <w:t>que</w:t>
    </w:r>
    <w:r w:rsidRPr="00506BB0">
      <w:rPr>
        <w:szCs w:val="20"/>
        <w:lang w:val="fr-CH"/>
      </w:rPr>
      <w:t xml:space="preserve"> </w:t>
    </w:r>
  </w:p>
  <w:p w14:paraId="55CCE7DF" w14:textId="7C9BFFC9" w:rsidR="00CC6457" w:rsidRPr="00506BB0" w:rsidRDefault="00CC6457" w:rsidP="00CC6457">
    <w:pPr>
      <w:pStyle w:val="En-tte"/>
      <w:ind w:left="5664"/>
      <w:jc w:val="right"/>
      <w:rPr>
        <w:szCs w:val="20"/>
        <w:lang w:val="fr-CH"/>
      </w:rPr>
    </w:pPr>
    <w:r w:rsidRPr="00506BB0">
      <w:rPr>
        <w:szCs w:val="20"/>
        <w:lang w:val="fr-CH"/>
      </w:rPr>
      <w:t xml:space="preserve">Oral no </w:t>
    </w:r>
    <w:r>
      <w:rPr>
        <w:szCs w:val="20"/>
        <w:lang w:val="fr-CH"/>
      </w:rPr>
      <w:t>2</w:t>
    </w:r>
    <w:r w:rsidRPr="00506BB0">
      <w:rPr>
        <w:szCs w:val="20"/>
        <w:lang w:val="fr-CH"/>
      </w:rPr>
      <w:t xml:space="preserve"> </w:t>
    </w:r>
  </w:p>
  <w:p w14:paraId="30E84954" w14:textId="77777777" w:rsidR="00CC6457" w:rsidRDefault="00CC6457" w:rsidP="00CC6457">
    <w:pPr>
      <w:pStyle w:val="En-tte"/>
    </w:pPr>
  </w:p>
  <w:p w14:paraId="4398B4AA" w14:textId="77777777" w:rsidR="00C44A7B" w:rsidRPr="00CC6457" w:rsidRDefault="00C44A7B" w:rsidP="00CC64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7E62"/>
    <w:multiLevelType w:val="hybridMultilevel"/>
    <w:tmpl w:val="8D9877B0"/>
    <w:lvl w:ilvl="0" w:tplc="100C000B">
      <w:start w:val="1"/>
      <w:numFmt w:val="bullet"/>
      <w:lvlText w:val=""/>
      <w:lvlJc w:val="left"/>
      <w:pPr>
        <w:ind w:left="862" w:hanging="360"/>
      </w:pPr>
      <w:rPr>
        <w:rFonts w:ascii="Wingdings" w:hAnsi="Wingdings" w:hint="default"/>
      </w:rPr>
    </w:lvl>
    <w:lvl w:ilvl="1" w:tplc="100C0003" w:tentative="1">
      <w:start w:val="1"/>
      <w:numFmt w:val="bullet"/>
      <w:lvlText w:val="o"/>
      <w:lvlJc w:val="left"/>
      <w:pPr>
        <w:ind w:left="1582" w:hanging="360"/>
      </w:pPr>
      <w:rPr>
        <w:rFonts w:ascii="Courier New" w:hAnsi="Courier New" w:cs="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cs="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cs="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 w15:restartNumberingAfterBreak="0">
    <w:nsid w:val="025C27B5"/>
    <w:multiLevelType w:val="hybridMultilevel"/>
    <w:tmpl w:val="17B27F46"/>
    <w:lvl w:ilvl="0" w:tplc="82D8FBC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D94EB5"/>
    <w:multiLevelType w:val="hybridMultilevel"/>
    <w:tmpl w:val="3C308CA8"/>
    <w:lvl w:ilvl="0" w:tplc="100C000F">
      <w:start w:val="1"/>
      <w:numFmt w:val="decimal"/>
      <w:lvlText w:val="%1."/>
      <w:lvlJc w:val="left"/>
      <w:pPr>
        <w:ind w:left="578" w:hanging="360"/>
      </w:pPr>
    </w:lvl>
    <w:lvl w:ilvl="1" w:tplc="100C0019" w:tentative="1">
      <w:start w:val="1"/>
      <w:numFmt w:val="lowerLetter"/>
      <w:lvlText w:val="%2."/>
      <w:lvlJc w:val="left"/>
      <w:pPr>
        <w:ind w:left="1298" w:hanging="360"/>
      </w:pPr>
    </w:lvl>
    <w:lvl w:ilvl="2" w:tplc="100C001B" w:tentative="1">
      <w:start w:val="1"/>
      <w:numFmt w:val="lowerRoman"/>
      <w:lvlText w:val="%3."/>
      <w:lvlJc w:val="right"/>
      <w:pPr>
        <w:ind w:left="2018" w:hanging="180"/>
      </w:pPr>
    </w:lvl>
    <w:lvl w:ilvl="3" w:tplc="100C000F" w:tentative="1">
      <w:start w:val="1"/>
      <w:numFmt w:val="decimal"/>
      <w:lvlText w:val="%4."/>
      <w:lvlJc w:val="left"/>
      <w:pPr>
        <w:ind w:left="2738" w:hanging="360"/>
      </w:pPr>
    </w:lvl>
    <w:lvl w:ilvl="4" w:tplc="100C0019" w:tentative="1">
      <w:start w:val="1"/>
      <w:numFmt w:val="lowerLetter"/>
      <w:lvlText w:val="%5."/>
      <w:lvlJc w:val="left"/>
      <w:pPr>
        <w:ind w:left="3458" w:hanging="360"/>
      </w:pPr>
    </w:lvl>
    <w:lvl w:ilvl="5" w:tplc="100C001B" w:tentative="1">
      <w:start w:val="1"/>
      <w:numFmt w:val="lowerRoman"/>
      <w:lvlText w:val="%6."/>
      <w:lvlJc w:val="right"/>
      <w:pPr>
        <w:ind w:left="4178" w:hanging="180"/>
      </w:pPr>
    </w:lvl>
    <w:lvl w:ilvl="6" w:tplc="100C000F" w:tentative="1">
      <w:start w:val="1"/>
      <w:numFmt w:val="decimal"/>
      <w:lvlText w:val="%7."/>
      <w:lvlJc w:val="left"/>
      <w:pPr>
        <w:ind w:left="4898" w:hanging="360"/>
      </w:pPr>
    </w:lvl>
    <w:lvl w:ilvl="7" w:tplc="100C0019" w:tentative="1">
      <w:start w:val="1"/>
      <w:numFmt w:val="lowerLetter"/>
      <w:lvlText w:val="%8."/>
      <w:lvlJc w:val="left"/>
      <w:pPr>
        <w:ind w:left="5618" w:hanging="360"/>
      </w:pPr>
    </w:lvl>
    <w:lvl w:ilvl="8" w:tplc="100C001B" w:tentative="1">
      <w:start w:val="1"/>
      <w:numFmt w:val="lowerRoman"/>
      <w:lvlText w:val="%9."/>
      <w:lvlJc w:val="right"/>
      <w:pPr>
        <w:ind w:left="6338" w:hanging="180"/>
      </w:pPr>
    </w:lvl>
  </w:abstractNum>
  <w:abstractNum w:abstractNumId="3" w15:restartNumberingAfterBreak="0">
    <w:nsid w:val="0E2B2C5A"/>
    <w:multiLevelType w:val="hybridMultilevel"/>
    <w:tmpl w:val="8FE49E9A"/>
    <w:lvl w:ilvl="0" w:tplc="382AF534">
      <w:start w:val="3"/>
      <w:numFmt w:val="decimal"/>
      <w:lvlText w:val="%1-"/>
      <w:lvlJc w:val="left"/>
      <w:pPr>
        <w:ind w:left="720" w:hanging="360"/>
      </w:pPr>
      <w:rPr>
        <w:rFonts w:cstheme="minorBid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3A68A6"/>
    <w:multiLevelType w:val="hybridMultilevel"/>
    <w:tmpl w:val="0C8A63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1731700"/>
    <w:multiLevelType w:val="hybridMultilevel"/>
    <w:tmpl w:val="EF4E08A0"/>
    <w:lvl w:ilvl="0" w:tplc="100C001B">
      <w:start w:val="1"/>
      <w:numFmt w:val="lowerRoman"/>
      <w:lvlText w:val="%1."/>
      <w:lvlJc w:val="right"/>
      <w:pPr>
        <w:ind w:left="1004" w:hanging="360"/>
      </w:p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6" w15:restartNumberingAfterBreak="0">
    <w:nsid w:val="12DC45EC"/>
    <w:multiLevelType w:val="hybridMultilevel"/>
    <w:tmpl w:val="53EE4E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C4362B8"/>
    <w:multiLevelType w:val="hybridMultilevel"/>
    <w:tmpl w:val="CFAEE880"/>
    <w:lvl w:ilvl="0" w:tplc="100C001B">
      <w:start w:val="1"/>
      <w:numFmt w:val="lowerRoman"/>
      <w:lvlText w:val="%1."/>
      <w:lvlJc w:val="right"/>
      <w:pPr>
        <w:ind w:left="796" w:hanging="360"/>
      </w:pPr>
    </w:lvl>
    <w:lvl w:ilvl="1" w:tplc="100C0019" w:tentative="1">
      <w:start w:val="1"/>
      <w:numFmt w:val="lowerLetter"/>
      <w:lvlText w:val="%2."/>
      <w:lvlJc w:val="left"/>
      <w:pPr>
        <w:ind w:left="1516" w:hanging="360"/>
      </w:pPr>
    </w:lvl>
    <w:lvl w:ilvl="2" w:tplc="100C001B" w:tentative="1">
      <w:start w:val="1"/>
      <w:numFmt w:val="lowerRoman"/>
      <w:lvlText w:val="%3."/>
      <w:lvlJc w:val="right"/>
      <w:pPr>
        <w:ind w:left="2236" w:hanging="180"/>
      </w:pPr>
    </w:lvl>
    <w:lvl w:ilvl="3" w:tplc="100C000F" w:tentative="1">
      <w:start w:val="1"/>
      <w:numFmt w:val="decimal"/>
      <w:lvlText w:val="%4."/>
      <w:lvlJc w:val="left"/>
      <w:pPr>
        <w:ind w:left="2956" w:hanging="360"/>
      </w:pPr>
    </w:lvl>
    <w:lvl w:ilvl="4" w:tplc="100C0019" w:tentative="1">
      <w:start w:val="1"/>
      <w:numFmt w:val="lowerLetter"/>
      <w:lvlText w:val="%5."/>
      <w:lvlJc w:val="left"/>
      <w:pPr>
        <w:ind w:left="3676" w:hanging="360"/>
      </w:pPr>
    </w:lvl>
    <w:lvl w:ilvl="5" w:tplc="100C001B" w:tentative="1">
      <w:start w:val="1"/>
      <w:numFmt w:val="lowerRoman"/>
      <w:lvlText w:val="%6."/>
      <w:lvlJc w:val="right"/>
      <w:pPr>
        <w:ind w:left="4396" w:hanging="180"/>
      </w:pPr>
    </w:lvl>
    <w:lvl w:ilvl="6" w:tplc="100C000F" w:tentative="1">
      <w:start w:val="1"/>
      <w:numFmt w:val="decimal"/>
      <w:lvlText w:val="%7."/>
      <w:lvlJc w:val="left"/>
      <w:pPr>
        <w:ind w:left="5116" w:hanging="360"/>
      </w:pPr>
    </w:lvl>
    <w:lvl w:ilvl="7" w:tplc="100C0019" w:tentative="1">
      <w:start w:val="1"/>
      <w:numFmt w:val="lowerLetter"/>
      <w:lvlText w:val="%8."/>
      <w:lvlJc w:val="left"/>
      <w:pPr>
        <w:ind w:left="5836" w:hanging="360"/>
      </w:pPr>
    </w:lvl>
    <w:lvl w:ilvl="8" w:tplc="100C001B" w:tentative="1">
      <w:start w:val="1"/>
      <w:numFmt w:val="lowerRoman"/>
      <w:lvlText w:val="%9."/>
      <w:lvlJc w:val="right"/>
      <w:pPr>
        <w:ind w:left="6556" w:hanging="180"/>
      </w:pPr>
    </w:lvl>
  </w:abstractNum>
  <w:abstractNum w:abstractNumId="8" w15:restartNumberingAfterBreak="0">
    <w:nsid w:val="1E2D5CFE"/>
    <w:multiLevelType w:val="hybridMultilevel"/>
    <w:tmpl w:val="7DB2BA8C"/>
    <w:lvl w:ilvl="0" w:tplc="100C0017">
      <w:start w:val="1"/>
      <w:numFmt w:val="lowerLetter"/>
      <w:lvlText w:val="%1)"/>
      <w:lvlJc w:val="left"/>
      <w:pPr>
        <w:ind w:left="436" w:hanging="360"/>
      </w:pPr>
    </w:lvl>
    <w:lvl w:ilvl="1" w:tplc="100C0019" w:tentative="1">
      <w:start w:val="1"/>
      <w:numFmt w:val="lowerLetter"/>
      <w:lvlText w:val="%2."/>
      <w:lvlJc w:val="left"/>
      <w:pPr>
        <w:ind w:left="1156" w:hanging="360"/>
      </w:pPr>
    </w:lvl>
    <w:lvl w:ilvl="2" w:tplc="100C001B" w:tentative="1">
      <w:start w:val="1"/>
      <w:numFmt w:val="lowerRoman"/>
      <w:lvlText w:val="%3."/>
      <w:lvlJc w:val="right"/>
      <w:pPr>
        <w:ind w:left="1876" w:hanging="180"/>
      </w:pPr>
    </w:lvl>
    <w:lvl w:ilvl="3" w:tplc="100C000F" w:tentative="1">
      <w:start w:val="1"/>
      <w:numFmt w:val="decimal"/>
      <w:lvlText w:val="%4."/>
      <w:lvlJc w:val="left"/>
      <w:pPr>
        <w:ind w:left="2596" w:hanging="360"/>
      </w:pPr>
    </w:lvl>
    <w:lvl w:ilvl="4" w:tplc="100C0019" w:tentative="1">
      <w:start w:val="1"/>
      <w:numFmt w:val="lowerLetter"/>
      <w:lvlText w:val="%5."/>
      <w:lvlJc w:val="left"/>
      <w:pPr>
        <w:ind w:left="3316" w:hanging="360"/>
      </w:pPr>
    </w:lvl>
    <w:lvl w:ilvl="5" w:tplc="100C001B" w:tentative="1">
      <w:start w:val="1"/>
      <w:numFmt w:val="lowerRoman"/>
      <w:lvlText w:val="%6."/>
      <w:lvlJc w:val="right"/>
      <w:pPr>
        <w:ind w:left="4036" w:hanging="180"/>
      </w:pPr>
    </w:lvl>
    <w:lvl w:ilvl="6" w:tplc="100C000F" w:tentative="1">
      <w:start w:val="1"/>
      <w:numFmt w:val="decimal"/>
      <w:lvlText w:val="%7."/>
      <w:lvlJc w:val="left"/>
      <w:pPr>
        <w:ind w:left="4756" w:hanging="360"/>
      </w:pPr>
    </w:lvl>
    <w:lvl w:ilvl="7" w:tplc="100C0019" w:tentative="1">
      <w:start w:val="1"/>
      <w:numFmt w:val="lowerLetter"/>
      <w:lvlText w:val="%8."/>
      <w:lvlJc w:val="left"/>
      <w:pPr>
        <w:ind w:left="5476" w:hanging="360"/>
      </w:pPr>
    </w:lvl>
    <w:lvl w:ilvl="8" w:tplc="100C001B" w:tentative="1">
      <w:start w:val="1"/>
      <w:numFmt w:val="lowerRoman"/>
      <w:lvlText w:val="%9."/>
      <w:lvlJc w:val="right"/>
      <w:pPr>
        <w:ind w:left="6196" w:hanging="180"/>
      </w:pPr>
    </w:lvl>
  </w:abstractNum>
  <w:abstractNum w:abstractNumId="9" w15:restartNumberingAfterBreak="0">
    <w:nsid w:val="20046330"/>
    <w:multiLevelType w:val="hybridMultilevel"/>
    <w:tmpl w:val="3AEAA494"/>
    <w:lvl w:ilvl="0" w:tplc="06D68B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4D2182"/>
    <w:multiLevelType w:val="hybridMultilevel"/>
    <w:tmpl w:val="2A92AD9C"/>
    <w:lvl w:ilvl="0" w:tplc="91FCEE1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A3B87"/>
    <w:multiLevelType w:val="hybridMultilevel"/>
    <w:tmpl w:val="D6D66FC8"/>
    <w:lvl w:ilvl="0" w:tplc="100C000B">
      <w:start w:val="1"/>
      <w:numFmt w:val="bullet"/>
      <w:lvlText w:val=""/>
      <w:lvlJc w:val="left"/>
      <w:pPr>
        <w:ind w:left="1004" w:hanging="360"/>
      </w:pPr>
      <w:rPr>
        <w:rFonts w:ascii="Wingdings" w:hAnsi="Wingdings"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12" w15:restartNumberingAfterBreak="0">
    <w:nsid w:val="2E10698E"/>
    <w:multiLevelType w:val="hybridMultilevel"/>
    <w:tmpl w:val="80EC48C6"/>
    <w:lvl w:ilvl="0" w:tplc="100C001B">
      <w:start w:val="1"/>
      <w:numFmt w:val="lowerRoman"/>
      <w:lvlText w:val="%1."/>
      <w:lvlJc w:val="right"/>
      <w:pPr>
        <w:ind w:left="1004" w:hanging="360"/>
      </w:p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3" w15:restartNumberingAfterBreak="0">
    <w:nsid w:val="341E283A"/>
    <w:multiLevelType w:val="hybridMultilevel"/>
    <w:tmpl w:val="1B085F44"/>
    <w:lvl w:ilvl="0" w:tplc="E444C012">
      <w:start w:val="3"/>
      <w:numFmt w:val="decimal"/>
      <w:lvlText w:val="%1-"/>
      <w:lvlJc w:val="left"/>
      <w:pPr>
        <w:ind w:left="360" w:hanging="360"/>
      </w:pPr>
      <w:rPr>
        <w:rFonts w:cstheme="minorBidi"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534579E"/>
    <w:multiLevelType w:val="hybridMultilevel"/>
    <w:tmpl w:val="1DEC4302"/>
    <w:lvl w:ilvl="0" w:tplc="15A25BA8">
      <w:start w:val="1"/>
      <w:numFmt w:val="lowerLetter"/>
      <w:lvlText w:val="%1-"/>
      <w:lvlJc w:val="left"/>
      <w:pPr>
        <w:ind w:left="436" w:hanging="360"/>
      </w:pPr>
      <w:rPr>
        <w:rFonts w:ascii="Arial" w:eastAsiaTheme="minorHAnsi" w:hAnsi="Arial" w:cs="Arial"/>
      </w:rPr>
    </w:lvl>
    <w:lvl w:ilvl="1" w:tplc="100C0019" w:tentative="1">
      <w:start w:val="1"/>
      <w:numFmt w:val="lowerLetter"/>
      <w:lvlText w:val="%2."/>
      <w:lvlJc w:val="left"/>
      <w:pPr>
        <w:ind w:left="1156" w:hanging="360"/>
      </w:pPr>
    </w:lvl>
    <w:lvl w:ilvl="2" w:tplc="100C001B" w:tentative="1">
      <w:start w:val="1"/>
      <w:numFmt w:val="lowerRoman"/>
      <w:lvlText w:val="%3."/>
      <w:lvlJc w:val="right"/>
      <w:pPr>
        <w:ind w:left="1876" w:hanging="180"/>
      </w:pPr>
    </w:lvl>
    <w:lvl w:ilvl="3" w:tplc="100C000F" w:tentative="1">
      <w:start w:val="1"/>
      <w:numFmt w:val="decimal"/>
      <w:lvlText w:val="%4."/>
      <w:lvlJc w:val="left"/>
      <w:pPr>
        <w:ind w:left="2596" w:hanging="360"/>
      </w:pPr>
    </w:lvl>
    <w:lvl w:ilvl="4" w:tplc="100C0019" w:tentative="1">
      <w:start w:val="1"/>
      <w:numFmt w:val="lowerLetter"/>
      <w:lvlText w:val="%5."/>
      <w:lvlJc w:val="left"/>
      <w:pPr>
        <w:ind w:left="3316" w:hanging="360"/>
      </w:pPr>
    </w:lvl>
    <w:lvl w:ilvl="5" w:tplc="100C001B" w:tentative="1">
      <w:start w:val="1"/>
      <w:numFmt w:val="lowerRoman"/>
      <w:lvlText w:val="%6."/>
      <w:lvlJc w:val="right"/>
      <w:pPr>
        <w:ind w:left="4036" w:hanging="180"/>
      </w:pPr>
    </w:lvl>
    <w:lvl w:ilvl="6" w:tplc="100C000F" w:tentative="1">
      <w:start w:val="1"/>
      <w:numFmt w:val="decimal"/>
      <w:lvlText w:val="%7."/>
      <w:lvlJc w:val="left"/>
      <w:pPr>
        <w:ind w:left="4756" w:hanging="360"/>
      </w:pPr>
    </w:lvl>
    <w:lvl w:ilvl="7" w:tplc="100C0019" w:tentative="1">
      <w:start w:val="1"/>
      <w:numFmt w:val="lowerLetter"/>
      <w:lvlText w:val="%8."/>
      <w:lvlJc w:val="left"/>
      <w:pPr>
        <w:ind w:left="5476" w:hanging="360"/>
      </w:pPr>
    </w:lvl>
    <w:lvl w:ilvl="8" w:tplc="100C001B" w:tentative="1">
      <w:start w:val="1"/>
      <w:numFmt w:val="lowerRoman"/>
      <w:lvlText w:val="%9."/>
      <w:lvlJc w:val="right"/>
      <w:pPr>
        <w:ind w:left="6196" w:hanging="180"/>
      </w:pPr>
    </w:lvl>
  </w:abstractNum>
  <w:abstractNum w:abstractNumId="15" w15:restartNumberingAfterBreak="0">
    <w:nsid w:val="391F126F"/>
    <w:multiLevelType w:val="hybridMultilevel"/>
    <w:tmpl w:val="CFAEE880"/>
    <w:lvl w:ilvl="0" w:tplc="100C001B">
      <w:start w:val="1"/>
      <w:numFmt w:val="lowerRoman"/>
      <w:lvlText w:val="%1."/>
      <w:lvlJc w:val="right"/>
      <w:pPr>
        <w:ind w:left="796" w:hanging="360"/>
      </w:pPr>
    </w:lvl>
    <w:lvl w:ilvl="1" w:tplc="100C0019" w:tentative="1">
      <w:start w:val="1"/>
      <w:numFmt w:val="lowerLetter"/>
      <w:lvlText w:val="%2."/>
      <w:lvlJc w:val="left"/>
      <w:pPr>
        <w:ind w:left="1516" w:hanging="360"/>
      </w:pPr>
    </w:lvl>
    <w:lvl w:ilvl="2" w:tplc="100C001B" w:tentative="1">
      <w:start w:val="1"/>
      <w:numFmt w:val="lowerRoman"/>
      <w:lvlText w:val="%3."/>
      <w:lvlJc w:val="right"/>
      <w:pPr>
        <w:ind w:left="2236" w:hanging="180"/>
      </w:pPr>
    </w:lvl>
    <w:lvl w:ilvl="3" w:tplc="100C000F" w:tentative="1">
      <w:start w:val="1"/>
      <w:numFmt w:val="decimal"/>
      <w:lvlText w:val="%4."/>
      <w:lvlJc w:val="left"/>
      <w:pPr>
        <w:ind w:left="2956" w:hanging="360"/>
      </w:pPr>
    </w:lvl>
    <w:lvl w:ilvl="4" w:tplc="100C0019" w:tentative="1">
      <w:start w:val="1"/>
      <w:numFmt w:val="lowerLetter"/>
      <w:lvlText w:val="%5."/>
      <w:lvlJc w:val="left"/>
      <w:pPr>
        <w:ind w:left="3676" w:hanging="360"/>
      </w:pPr>
    </w:lvl>
    <w:lvl w:ilvl="5" w:tplc="100C001B" w:tentative="1">
      <w:start w:val="1"/>
      <w:numFmt w:val="lowerRoman"/>
      <w:lvlText w:val="%6."/>
      <w:lvlJc w:val="right"/>
      <w:pPr>
        <w:ind w:left="4396" w:hanging="180"/>
      </w:pPr>
    </w:lvl>
    <w:lvl w:ilvl="6" w:tplc="100C000F" w:tentative="1">
      <w:start w:val="1"/>
      <w:numFmt w:val="decimal"/>
      <w:lvlText w:val="%7."/>
      <w:lvlJc w:val="left"/>
      <w:pPr>
        <w:ind w:left="5116" w:hanging="360"/>
      </w:pPr>
    </w:lvl>
    <w:lvl w:ilvl="7" w:tplc="100C0019" w:tentative="1">
      <w:start w:val="1"/>
      <w:numFmt w:val="lowerLetter"/>
      <w:lvlText w:val="%8."/>
      <w:lvlJc w:val="left"/>
      <w:pPr>
        <w:ind w:left="5836" w:hanging="360"/>
      </w:pPr>
    </w:lvl>
    <w:lvl w:ilvl="8" w:tplc="100C001B" w:tentative="1">
      <w:start w:val="1"/>
      <w:numFmt w:val="lowerRoman"/>
      <w:lvlText w:val="%9."/>
      <w:lvlJc w:val="right"/>
      <w:pPr>
        <w:ind w:left="6556" w:hanging="180"/>
      </w:pPr>
    </w:lvl>
  </w:abstractNum>
  <w:abstractNum w:abstractNumId="16" w15:restartNumberingAfterBreak="0">
    <w:nsid w:val="568B58B9"/>
    <w:multiLevelType w:val="hybridMultilevel"/>
    <w:tmpl w:val="00A89B7C"/>
    <w:lvl w:ilvl="0" w:tplc="D36463F4">
      <w:start w:val="1"/>
      <w:numFmt w:val="lowerLetter"/>
      <w:lvlText w:val="%1)"/>
      <w:lvlJc w:val="left"/>
      <w:pPr>
        <w:ind w:left="76" w:hanging="360"/>
      </w:pPr>
      <w:rPr>
        <w:rFonts w:hint="default"/>
      </w:rPr>
    </w:lvl>
    <w:lvl w:ilvl="1" w:tplc="100C0019" w:tentative="1">
      <w:start w:val="1"/>
      <w:numFmt w:val="lowerLetter"/>
      <w:lvlText w:val="%2."/>
      <w:lvlJc w:val="left"/>
      <w:pPr>
        <w:ind w:left="796" w:hanging="360"/>
      </w:pPr>
    </w:lvl>
    <w:lvl w:ilvl="2" w:tplc="100C001B" w:tentative="1">
      <w:start w:val="1"/>
      <w:numFmt w:val="lowerRoman"/>
      <w:lvlText w:val="%3."/>
      <w:lvlJc w:val="right"/>
      <w:pPr>
        <w:ind w:left="1516" w:hanging="180"/>
      </w:pPr>
    </w:lvl>
    <w:lvl w:ilvl="3" w:tplc="100C000F" w:tentative="1">
      <w:start w:val="1"/>
      <w:numFmt w:val="decimal"/>
      <w:lvlText w:val="%4."/>
      <w:lvlJc w:val="left"/>
      <w:pPr>
        <w:ind w:left="2236" w:hanging="360"/>
      </w:pPr>
    </w:lvl>
    <w:lvl w:ilvl="4" w:tplc="100C0019" w:tentative="1">
      <w:start w:val="1"/>
      <w:numFmt w:val="lowerLetter"/>
      <w:lvlText w:val="%5."/>
      <w:lvlJc w:val="left"/>
      <w:pPr>
        <w:ind w:left="2956" w:hanging="360"/>
      </w:pPr>
    </w:lvl>
    <w:lvl w:ilvl="5" w:tplc="100C001B" w:tentative="1">
      <w:start w:val="1"/>
      <w:numFmt w:val="lowerRoman"/>
      <w:lvlText w:val="%6."/>
      <w:lvlJc w:val="right"/>
      <w:pPr>
        <w:ind w:left="3676" w:hanging="180"/>
      </w:pPr>
    </w:lvl>
    <w:lvl w:ilvl="6" w:tplc="100C000F" w:tentative="1">
      <w:start w:val="1"/>
      <w:numFmt w:val="decimal"/>
      <w:lvlText w:val="%7."/>
      <w:lvlJc w:val="left"/>
      <w:pPr>
        <w:ind w:left="4396" w:hanging="360"/>
      </w:pPr>
    </w:lvl>
    <w:lvl w:ilvl="7" w:tplc="100C0019" w:tentative="1">
      <w:start w:val="1"/>
      <w:numFmt w:val="lowerLetter"/>
      <w:lvlText w:val="%8."/>
      <w:lvlJc w:val="left"/>
      <w:pPr>
        <w:ind w:left="5116" w:hanging="360"/>
      </w:pPr>
    </w:lvl>
    <w:lvl w:ilvl="8" w:tplc="100C001B" w:tentative="1">
      <w:start w:val="1"/>
      <w:numFmt w:val="lowerRoman"/>
      <w:lvlText w:val="%9."/>
      <w:lvlJc w:val="right"/>
      <w:pPr>
        <w:ind w:left="5836" w:hanging="180"/>
      </w:pPr>
    </w:lvl>
  </w:abstractNum>
  <w:abstractNum w:abstractNumId="17" w15:restartNumberingAfterBreak="0">
    <w:nsid w:val="5BB4609F"/>
    <w:multiLevelType w:val="hybridMultilevel"/>
    <w:tmpl w:val="0D98CDBE"/>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15:restartNumberingAfterBreak="0">
    <w:nsid w:val="5BFF7E65"/>
    <w:multiLevelType w:val="hybridMultilevel"/>
    <w:tmpl w:val="8F2E58EA"/>
    <w:lvl w:ilvl="0" w:tplc="100C0017">
      <w:start w:val="1"/>
      <w:numFmt w:val="lowerLetter"/>
      <w:lvlText w:val="%1)"/>
      <w:lvlJc w:val="left"/>
      <w:pPr>
        <w:ind w:left="862" w:hanging="360"/>
      </w:p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19" w15:restartNumberingAfterBreak="0">
    <w:nsid w:val="60514FC7"/>
    <w:multiLevelType w:val="hybridMultilevel"/>
    <w:tmpl w:val="EF4E08A0"/>
    <w:lvl w:ilvl="0" w:tplc="100C001B">
      <w:start w:val="1"/>
      <w:numFmt w:val="lowerRoman"/>
      <w:lvlText w:val="%1."/>
      <w:lvlJc w:val="right"/>
      <w:pPr>
        <w:ind w:left="1004" w:hanging="360"/>
      </w:p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20" w15:restartNumberingAfterBreak="0">
    <w:nsid w:val="610B3E46"/>
    <w:multiLevelType w:val="hybridMultilevel"/>
    <w:tmpl w:val="BC20BED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9913D04"/>
    <w:multiLevelType w:val="hybridMultilevel"/>
    <w:tmpl w:val="0C8A63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69DF542C"/>
    <w:multiLevelType w:val="hybridMultilevel"/>
    <w:tmpl w:val="A63E0FCC"/>
    <w:lvl w:ilvl="0" w:tplc="100C0017">
      <w:start w:val="1"/>
      <w:numFmt w:val="lowerLetter"/>
      <w:lvlText w:val="%1)"/>
      <w:lvlJc w:val="left"/>
      <w:pPr>
        <w:ind w:left="436" w:hanging="360"/>
      </w:pPr>
    </w:lvl>
    <w:lvl w:ilvl="1" w:tplc="100C0019" w:tentative="1">
      <w:start w:val="1"/>
      <w:numFmt w:val="lowerLetter"/>
      <w:lvlText w:val="%2."/>
      <w:lvlJc w:val="left"/>
      <w:pPr>
        <w:ind w:left="1156" w:hanging="360"/>
      </w:pPr>
    </w:lvl>
    <w:lvl w:ilvl="2" w:tplc="100C001B" w:tentative="1">
      <w:start w:val="1"/>
      <w:numFmt w:val="lowerRoman"/>
      <w:lvlText w:val="%3."/>
      <w:lvlJc w:val="right"/>
      <w:pPr>
        <w:ind w:left="1876" w:hanging="180"/>
      </w:pPr>
    </w:lvl>
    <w:lvl w:ilvl="3" w:tplc="100C000F" w:tentative="1">
      <w:start w:val="1"/>
      <w:numFmt w:val="decimal"/>
      <w:lvlText w:val="%4."/>
      <w:lvlJc w:val="left"/>
      <w:pPr>
        <w:ind w:left="2596" w:hanging="360"/>
      </w:pPr>
    </w:lvl>
    <w:lvl w:ilvl="4" w:tplc="100C0019" w:tentative="1">
      <w:start w:val="1"/>
      <w:numFmt w:val="lowerLetter"/>
      <w:lvlText w:val="%5."/>
      <w:lvlJc w:val="left"/>
      <w:pPr>
        <w:ind w:left="3316" w:hanging="360"/>
      </w:pPr>
    </w:lvl>
    <w:lvl w:ilvl="5" w:tplc="100C001B" w:tentative="1">
      <w:start w:val="1"/>
      <w:numFmt w:val="lowerRoman"/>
      <w:lvlText w:val="%6."/>
      <w:lvlJc w:val="right"/>
      <w:pPr>
        <w:ind w:left="4036" w:hanging="180"/>
      </w:pPr>
    </w:lvl>
    <w:lvl w:ilvl="6" w:tplc="100C000F" w:tentative="1">
      <w:start w:val="1"/>
      <w:numFmt w:val="decimal"/>
      <w:lvlText w:val="%7."/>
      <w:lvlJc w:val="left"/>
      <w:pPr>
        <w:ind w:left="4756" w:hanging="360"/>
      </w:pPr>
    </w:lvl>
    <w:lvl w:ilvl="7" w:tplc="100C0019" w:tentative="1">
      <w:start w:val="1"/>
      <w:numFmt w:val="lowerLetter"/>
      <w:lvlText w:val="%8."/>
      <w:lvlJc w:val="left"/>
      <w:pPr>
        <w:ind w:left="5476" w:hanging="360"/>
      </w:pPr>
    </w:lvl>
    <w:lvl w:ilvl="8" w:tplc="100C001B" w:tentative="1">
      <w:start w:val="1"/>
      <w:numFmt w:val="lowerRoman"/>
      <w:lvlText w:val="%9."/>
      <w:lvlJc w:val="right"/>
      <w:pPr>
        <w:ind w:left="6196" w:hanging="180"/>
      </w:pPr>
    </w:lvl>
  </w:abstractNum>
  <w:abstractNum w:abstractNumId="23" w15:restartNumberingAfterBreak="0">
    <w:nsid w:val="777817D9"/>
    <w:multiLevelType w:val="hybridMultilevel"/>
    <w:tmpl w:val="2E0277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1E1BB4"/>
    <w:multiLevelType w:val="hybridMultilevel"/>
    <w:tmpl w:val="32D6BC94"/>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C5D5D27"/>
    <w:multiLevelType w:val="hybridMultilevel"/>
    <w:tmpl w:val="F3AA793A"/>
    <w:lvl w:ilvl="0" w:tplc="100C000B">
      <w:start w:val="1"/>
      <w:numFmt w:val="bullet"/>
      <w:lvlText w:val=""/>
      <w:lvlJc w:val="left"/>
      <w:pPr>
        <w:ind w:left="1146" w:hanging="360"/>
      </w:pPr>
      <w:rPr>
        <w:rFonts w:ascii="Wingdings" w:hAnsi="Wingdings"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26" w15:restartNumberingAfterBreak="0">
    <w:nsid w:val="7F8F63C0"/>
    <w:multiLevelType w:val="hybridMultilevel"/>
    <w:tmpl w:val="CFAEE880"/>
    <w:lvl w:ilvl="0" w:tplc="100C001B">
      <w:start w:val="1"/>
      <w:numFmt w:val="lowerRoman"/>
      <w:lvlText w:val="%1."/>
      <w:lvlJc w:val="right"/>
      <w:pPr>
        <w:ind w:left="796" w:hanging="360"/>
      </w:pPr>
    </w:lvl>
    <w:lvl w:ilvl="1" w:tplc="100C0019" w:tentative="1">
      <w:start w:val="1"/>
      <w:numFmt w:val="lowerLetter"/>
      <w:lvlText w:val="%2."/>
      <w:lvlJc w:val="left"/>
      <w:pPr>
        <w:ind w:left="1516" w:hanging="360"/>
      </w:pPr>
    </w:lvl>
    <w:lvl w:ilvl="2" w:tplc="100C001B" w:tentative="1">
      <w:start w:val="1"/>
      <w:numFmt w:val="lowerRoman"/>
      <w:lvlText w:val="%3."/>
      <w:lvlJc w:val="right"/>
      <w:pPr>
        <w:ind w:left="2236" w:hanging="180"/>
      </w:pPr>
    </w:lvl>
    <w:lvl w:ilvl="3" w:tplc="100C000F" w:tentative="1">
      <w:start w:val="1"/>
      <w:numFmt w:val="decimal"/>
      <w:lvlText w:val="%4."/>
      <w:lvlJc w:val="left"/>
      <w:pPr>
        <w:ind w:left="2956" w:hanging="360"/>
      </w:pPr>
    </w:lvl>
    <w:lvl w:ilvl="4" w:tplc="100C0019" w:tentative="1">
      <w:start w:val="1"/>
      <w:numFmt w:val="lowerLetter"/>
      <w:lvlText w:val="%5."/>
      <w:lvlJc w:val="left"/>
      <w:pPr>
        <w:ind w:left="3676" w:hanging="360"/>
      </w:pPr>
    </w:lvl>
    <w:lvl w:ilvl="5" w:tplc="100C001B" w:tentative="1">
      <w:start w:val="1"/>
      <w:numFmt w:val="lowerRoman"/>
      <w:lvlText w:val="%6."/>
      <w:lvlJc w:val="right"/>
      <w:pPr>
        <w:ind w:left="4396" w:hanging="180"/>
      </w:pPr>
    </w:lvl>
    <w:lvl w:ilvl="6" w:tplc="100C000F" w:tentative="1">
      <w:start w:val="1"/>
      <w:numFmt w:val="decimal"/>
      <w:lvlText w:val="%7."/>
      <w:lvlJc w:val="left"/>
      <w:pPr>
        <w:ind w:left="5116" w:hanging="360"/>
      </w:pPr>
    </w:lvl>
    <w:lvl w:ilvl="7" w:tplc="100C0019" w:tentative="1">
      <w:start w:val="1"/>
      <w:numFmt w:val="lowerLetter"/>
      <w:lvlText w:val="%8."/>
      <w:lvlJc w:val="left"/>
      <w:pPr>
        <w:ind w:left="5836" w:hanging="360"/>
      </w:pPr>
    </w:lvl>
    <w:lvl w:ilvl="8" w:tplc="100C001B" w:tentative="1">
      <w:start w:val="1"/>
      <w:numFmt w:val="lowerRoman"/>
      <w:lvlText w:val="%9."/>
      <w:lvlJc w:val="right"/>
      <w:pPr>
        <w:ind w:left="6556" w:hanging="180"/>
      </w:pPr>
    </w:lvl>
  </w:abstractNum>
  <w:num w:numId="1">
    <w:abstractNumId w:val="23"/>
  </w:num>
  <w:num w:numId="2">
    <w:abstractNumId w:val="17"/>
  </w:num>
  <w:num w:numId="3">
    <w:abstractNumId w:val="4"/>
  </w:num>
  <w:num w:numId="4">
    <w:abstractNumId w:val="2"/>
  </w:num>
  <w:num w:numId="5">
    <w:abstractNumId w:val="12"/>
  </w:num>
  <w:num w:numId="6">
    <w:abstractNumId w:val="25"/>
  </w:num>
  <w:num w:numId="7">
    <w:abstractNumId w:val="18"/>
  </w:num>
  <w:num w:numId="8">
    <w:abstractNumId w:val="19"/>
  </w:num>
  <w:num w:numId="9">
    <w:abstractNumId w:val="21"/>
  </w:num>
  <w:num w:numId="10">
    <w:abstractNumId w:val="14"/>
  </w:num>
  <w:num w:numId="11">
    <w:abstractNumId w:val="22"/>
  </w:num>
  <w:num w:numId="12">
    <w:abstractNumId w:val="5"/>
  </w:num>
  <w:num w:numId="13">
    <w:abstractNumId w:val="8"/>
  </w:num>
  <w:num w:numId="14">
    <w:abstractNumId w:val="16"/>
  </w:num>
  <w:num w:numId="15">
    <w:abstractNumId w:val="7"/>
  </w:num>
  <w:num w:numId="16">
    <w:abstractNumId w:val="0"/>
  </w:num>
  <w:num w:numId="17">
    <w:abstractNumId w:val="15"/>
  </w:num>
  <w:num w:numId="18">
    <w:abstractNumId w:val="26"/>
  </w:num>
  <w:num w:numId="19">
    <w:abstractNumId w:val="11"/>
  </w:num>
  <w:num w:numId="20">
    <w:abstractNumId w:val="6"/>
  </w:num>
  <w:num w:numId="21">
    <w:abstractNumId w:val="9"/>
  </w:num>
  <w:num w:numId="22">
    <w:abstractNumId w:val="1"/>
  </w:num>
  <w:num w:numId="23">
    <w:abstractNumId w:val="20"/>
  </w:num>
  <w:num w:numId="24">
    <w:abstractNumId w:val="24"/>
  </w:num>
  <w:num w:numId="25">
    <w:abstractNumId w:val="3"/>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8C"/>
    <w:rsid w:val="00067289"/>
    <w:rsid w:val="000A44E6"/>
    <w:rsid w:val="0011553E"/>
    <w:rsid w:val="0012550F"/>
    <w:rsid w:val="00156D7A"/>
    <w:rsid w:val="00171385"/>
    <w:rsid w:val="00200F42"/>
    <w:rsid w:val="00203804"/>
    <w:rsid w:val="00281B53"/>
    <w:rsid w:val="002D238C"/>
    <w:rsid w:val="003530C7"/>
    <w:rsid w:val="00361700"/>
    <w:rsid w:val="00377A38"/>
    <w:rsid w:val="003965B7"/>
    <w:rsid w:val="003C5DC7"/>
    <w:rsid w:val="003F2E96"/>
    <w:rsid w:val="00403561"/>
    <w:rsid w:val="00417027"/>
    <w:rsid w:val="004569EE"/>
    <w:rsid w:val="00525EF4"/>
    <w:rsid w:val="00537C7A"/>
    <w:rsid w:val="005B1110"/>
    <w:rsid w:val="005C66B9"/>
    <w:rsid w:val="005D6814"/>
    <w:rsid w:val="00643F58"/>
    <w:rsid w:val="00657A02"/>
    <w:rsid w:val="006B28B9"/>
    <w:rsid w:val="006B3E38"/>
    <w:rsid w:val="006D1A88"/>
    <w:rsid w:val="006D6A9E"/>
    <w:rsid w:val="0070196C"/>
    <w:rsid w:val="00726F54"/>
    <w:rsid w:val="007A1303"/>
    <w:rsid w:val="007E57C2"/>
    <w:rsid w:val="00841E60"/>
    <w:rsid w:val="00896C93"/>
    <w:rsid w:val="008A435F"/>
    <w:rsid w:val="008B6EDB"/>
    <w:rsid w:val="008F2D5D"/>
    <w:rsid w:val="009608BD"/>
    <w:rsid w:val="00972638"/>
    <w:rsid w:val="00995F13"/>
    <w:rsid w:val="00A23682"/>
    <w:rsid w:val="00A33B6C"/>
    <w:rsid w:val="00A34364"/>
    <w:rsid w:val="00A726F5"/>
    <w:rsid w:val="00A7316C"/>
    <w:rsid w:val="00A91199"/>
    <w:rsid w:val="00A95C6C"/>
    <w:rsid w:val="00B163AC"/>
    <w:rsid w:val="00B27F57"/>
    <w:rsid w:val="00B40180"/>
    <w:rsid w:val="00BC555C"/>
    <w:rsid w:val="00BF5A61"/>
    <w:rsid w:val="00C31815"/>
    <w:rsid w:val="00C44A7B"/>
    <w:rsid w:val="00C903C9"/>
    <w:rsid w:val="00CC6457"/>
    <w:rsid w:val="00DC7F56"/>
    <w:rsid w:val="00DE7678"/>
    <w:rsid w:val="00E41C96"/>
    <w:rsid w:val="00E45730"/>
    <w:rsid w:val="00EC1AC4"/>
    <w:rsid w:val="00EE1877"/>
    <w:rsid w:val="00F76745"/>
    <w:rsid w:val="00FE3E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FC8"/>
  <w15:chartTrackingRefBased/>
  <w15:docId w15:val="{5FA71388-3FA1-4782-A0B4-5CD17E8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0F"/>
    <w:pPr>
      <w:tabs>
        <w:tab w:val="center" w:pos="4536"/>
        <w:tab w:val="right" w:pos="9072"/>
      </w:tabs>
    </w:pPr>
  </w:style>
  <w:style w:type="character" w:customStyle="1" w:styleId="En-tteCar">
    <w:name w:val="En-tête Car"/>
    <w:basedOn w:val="Policepardfaut"/>
    <w:link w:val="En-tte"/>
    <w:uiPriority w:val="99"/>
    <w:rsid w:val="0012550F"/>
  </w:style>
  <w:style w:type="paragraph" w:styleId="Pieddepage">
    <w:name w:val="footer"/>
    <w:basedOn w:val="Normal"/>
    <w:link w:val="PieddepageCar"/>
    <w:uiPriority w:val="99"/>
    <w:unhideWhenUsed/>
    <w:rsid w:val="0012550F"/>
    <w:pPr>
      <w:tabs>
        <w:tab w:val="center" w:pos="4536"/>
        <w:tab w:val="right" w:pos="9072"/>
      </w:tabs>
    </w:pPr>
  </w:style>
  <w:style w:type="character" w:customStyle="1" w:styleId="PieddepageCar">
    <w:name w:val="Pied de page Car"/>
    <w:basedOn w:val="Policepardfaut"/>
    <w:link w:val="Pieddepage"/>
    <w:uiPriority w:val="99"/>
    <w:rsid w:val="0012550F"/>
  </w:style>
  <w:style w:type="paragraph" w:styleId="Paragraphedeliste">
    <w:name w:val="List Paragraph"/>
    <w:basedOn w:val="Normal"/>
    <w:uiPriority w:val="34"/>
    <w:qFormat/>
    <w:rsid w:val="005B1110"/>
    <w:pPr>
      <w:ind w:left="720"/>
      <w:contextualSpacing/>
    </w:pPr>
  </w:style>
  <w:style w:type="paragraph" w:styleId="Notedebasdepage">
    <w:name w:val="footnote text"/>
    <w:basedOn w:val="Normal"/>
    <w:link w:val="NotedebasdepageCar"/>
    <w:uiPriority w:val="99"/>
    <w:semiHidden/>
    <w:unhideWhenUsed/>
    <w:rsid w:val="00E45730"/>
    <w:rPr>
      <w:szCs w:val="20"/>
    </w:rPr>
  </w:style>
  <w:style w:type="character" w:customStyle="1" w:styleId="NotedebasdepageCar">
    <w:name w:val="Note de bas de page Car"/>
    <w:basedOn w:val="Policepardfaut"/>
    <w:link w:val="Notedebasdepage"/>
    <w:uiPriority w:val="99"/>
    <w:semiHidden/>
    <w:rsid w:val="00E45730"/>
    <w:rPr>
      <w:sz w:val="20"/>
      <w:szCs w:val="20"/>
    </w:rPr>
  </w:style>
  <w:style w:type="character" w:styleId="Appelnotedebasdep">
    <w:name w:val="footnote reference"/>
    <w:basedOn w:val="Policepardfaut"/>
    <w:uiPriority w:val="99"/>
    <w:semiHidden/>
    <w:unhideWhenUsed/>
    <w:rsid w:val="00E45730"/>
    <w:rPr>
      <w:vertAlign w:val="superscript"/>
    </w:rPr>
  </w:style>
  <w:style w:type="character" w:styleId="Lienhypertexte">
    <w:name w:val="Hyperlink"/>
    <w:basedOn w:val="Policepardfaut"/>
    <w:uiPriority w:val="99"/>
    <w:unhideWhenUsed/>
    <w:rsid w:val="00403561"/>
    <w:rPr>
      <w:color w:val="0563C1" w:themeColor="hyperlink"/>
      <w:u w:val="single"/>
    </w:rPr>
  </w:style>
  <w:style w:type="character" w:styleId="Mentionnonrsolue">
    <w:name w:val="Unresolved Mention"/>
    <w:basedOn w:val="Policepardfaut"/>
    <w:uiPriority w:val="99"/>
    <w:semiHidden/>
    <w:unhideWhenUsed/>
    <w:rsid w:val="00403561"/>
    <w:rPr>
      <w:color w:val="605E5C"/>
      <w:shd w:val="clear" w:color="auto" w:fill="E1DFDD"/>
    </w:rPr>
  </w:style>
  <w:style w:type="paragraph" w:styleId="NormalWeb">
    <w:name w:val="Normal (Web)"/>
    <w:basedOn w:val="Normal"/>
    <w:uiPriority w:val="99"/>
    <w:semiHidden/>
    <w:unhideWhenUsed/>
    <w:rsid w:val="00657A02"/>
    <w:pPr>
      <w:spacing w:before="100" w:beforeAutospacing="1" w:after="100" w:afterAutospacing="1"/>
      <w:jc w:val="left"/>
    </w:pPr>
    <w:rPr>
      <w:rFonts w:ascii="Times New Roman" w:eastAsia="Times New Roman" w:hAnsi="Times New Roman" w:cs="Times New Roman"/>
      <w:sz w:val="24"/>
      <w:szCs w:val="24"/>
      <w:lang w:val="fr-CH" w:eastAsia="fr-FR"/>
    </w:rPr>
  </w:style>
  <w:style w:type="character" w:styleId="Accentuation">
    <w:name w:val="Emphasis"/>
    <w:basedOn w:val="Policepardfaut"/>
    <w:uiPriority w:val="20"/>
    <w:qFormat/>
    <w:rsid w:val="00A33B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947934371">
      <w:bodyDiv w:val="1"/>
      <w:marLeft w:val="0"/>
      <w:marRight w:val="0"/>
      <w:marTop w:val="0"/>
      <w:marBottom w:val="0"/>
      <w:divBdr>
        <w:top w:val="none" w:sz="0" w:space="0" w:color="auto"/>
        <w:left w:val="none" w:sz="0" w:space="0" w:color="auto"/>
        <w:bottom w:val="none" w:sz="0" w:space="0" w:color="auto"/>
        <w:right w:val="none" w:sz="0" w:space="0" w:color="auto"/>
      </w:divBdr>
    </w:div>
    <w:div w:id="1145971340">
      <w:bodyDiv w:val="1"/>
      <w:marLeft w:val="0"/>
      <w:marRight w:val="0"/>
      <w:marTop w:val="0"/>
      <w:marBottom w:val="0"/>
      <w:divBdr>
        <w:top w:val="none" w:sz="0" w:space="0" w:color="auto"/>
        <w:left w:val="none" w:sz="0" w:space="0" w:color="auto"/>
        <w:bottom w:val="none" w:sz="0" w:space="0" w:color="auto"/>
        <w:right w:val="none" w:sz="0" w:space="0" w:color="auto"/>
      </w:divBdr>
    </w:div>
    <w:div w:id="1664047307">
      <w:bodyDiv w:val="1"/>
      <w:marLeft w:val="0"/>
      <w:marRight w:val="0"/>
      <w:marTop w:val="0"/>
      <w:marBottom w:val="0"/>
      <w:divBdr>
        <w:top w:val="none" w:sz="0" w:space="0" w:color="auto"/>
        <w:left w:val="none" w:sz="0" w:space="0" w:color="auto"/>
        <w:bottom w:val="none" w:sz="0" w:space="0" w:color="auto"/>
        <w:right w:val="none" w:sz="0" w:space="0" w:color="auto"/>
      </w:divBdr>
    </w:div>
    <w:div w:id="1728186113">
      <w:bodyDiv w:val="1"/>
      <w:marLeft w:val="0"/>
      <w:marRight w:val="0"/>
      <w:marTop w:val="0"/>
      <w:marBottom w:val="0"/>
      <w:divBdr>
        <w:top w:val="none" w:sz="0" w:space="0" w:color="auto"/>
        <w:left w:val="none" w:sz="0" w:space="0" w:color="auto"/>
        <w:bottom w:val="none" w:sz="0" w:space="0" w:color="auto"/>
        <w:right w:val="none" w:sz="0" w:space="0" w:color="auto"/>
      </w:divBdr>
    </w:div>
    <w:div w:id="20575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65B81EFE-CD26-A440-8F8E-CED0F51F946A}">
  <ds:schemaRefs>
    <ds:schemaRef ds:uri="http://schemas.openxmlformats.org/officeDocument/2006/bibliography"/>
  </ds:schemaRefs>
</ds:datastoreItem>
</file>

<file path=customXml/itemProps2.xml><?xml version="1.0" encoding="utf-8"?>
<ds:datastoreItem xmlns:ds="http://schemas.openxmlformats.org/officeDocument/2006/customXml" ds:itemID="{837FEDA5-DB25-4F8C-88BF-2EC1358D70EE}"/>
</file>

<file path=customXml/itemProps3.xml><?xml version="1.0" encoding="utf-8"?>
<ds:datastoreItem xmlns:ds="http://schemas.openxmlformats.org/officeDocument/2006/customXml" ds:itemID="{AC875F3D-E37C-4A76-B616-3E91EB091CA9}"/>
</file>

<file path=customXml/itemProps4.xml><?xml version="1.0" encoding="utf-8"?>
<ds:datastoreItem xmlns:ds="http://schemas.openxmlformats.org/officeDocument/2006/customXml" ds:itemID="{EC38C154-3135-4503-BAD2-E9706F63A023}"/>
</file>

<file path=docProps/app.xml><?xml version="1.0" encoding="utf-8"?>
<Properties xmlns="http://schemas.openxmlformats.org/officeDocument/2006/extended-properties" xmlns:vt="http://schemas.openxmlformats.org/officeDocument/2006/docPropsVTypes">
  <Template>Normal.dotm</Template>
  <TotalTime>43</TotalTime>
  <Pages>4</Pages>
  <Words>1113</Words>
  <Characters>6123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Haunreiter Katja</cp:lastModifiedBy>
  <cp:revision>17</cp:revision>
  <dcterms:created xsi:type="dcterms:W3CDTF">2020-12-30T22:19:00Z</dcterms:created>
  <dcterms:modified xsi:type="dcterms:W3CDTF">2021-01-09T15:47:00Z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