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584" w:rsidRPr="00643AA4" w:rsidRDefault="00176584" w:rsidP="00643AA4">
      <w:pPr>
        <w:spacing w:after="0"/>
        <w:jc w:val="both"/>
        <w:rPr>
          <w:rFonts w:ascii="Arial" w:hAnsi="Arial" w:cs="Arial"/>
        </w:rPr>
      </w:pPr>
      <w:r w:rsidRPr="00643AA4">
        <w:rPr>
          <w:rFonts w:ascii="Arial" w:hAnsi="Arial" w:cs="Arial"/>
          <w:b/>
          <w:bCs/>
          <w:caps/>
        </w:rPr>
        <w:t xml:space="preserve">droit </w:t>
      </w:r>
      <w:r w:rsidR="00C42DFB" w:rsidRPr="00643AA4">
        <w:rPr>
          <w:rFonts w:ascii="Arial" w:hAnsi="Arial" w:cs="Arial"/>
          <w:b/>
          <w:bCs/>
          <w:caps/>
        </w:rPr>
        <w:t xml:space="preserve">à la santé (international) </w:t>
      </w:r>
    </w:p>
    <w:p w:rsidR="00176584" w:rsidRPr="00643AA4" w:rsidRDefault="00176584" w:rsidP="00643AA4">
      <w:pPr>
        <w:pBdr>
          <w:bottom w:val="single" w:sz="12" w:space="1" w:color="auto"/>
        </w:pBdr>
        <w:spacing w:after="0"/>
        <w:jc w:val="both"/>
        <w:rPr>
          <w:rFonts w:ascii="Arial" w:hAnsi="Arial" w:cs="Arial"/>
          <w:b/>
          <w:bCs/>
          <w:smallCaps/>
        </w:rPr>
      </w:pPr>
    </w:p>
    <w:p w:rsidR="001E7A94" w:rsidRPr="00643AA4" w:rsidRDefault="00C42DFB" w:rsidP="00643AA4">
      <w:pPr>
        <w:pBdr>
          <w:bottom w:val="single" w:sz="12" w:space="1" w:color="auto"/>
        </w:pBdr>
        <w:spacing w:after="0"/>
        <w:jc w:val="both"/>
        <w:rPr>
          <w:rFonts w:ascii="Arial" w:hAnsi="Arial" w:cs="Arial"/>
          <w:b/>
          <w:bCs/>
          <w:smallCaps/>
        </w:rPr>
      </w:pPr>
      <w:r w:rsidRPr="00643AA4">
        <w:rPr>
          <w:rFonts w:ascii="Arial" w:hAnsi="Arial" w:cs="Arial"/>
          <w:b/>
          <w:bCs/>
          <w:smallCaps/>
        </w:rPr>
        <w:t>Le droit à la santé a été qualif</w:t>
      </w:r>
      <w:r w:rsidR="00F73E60" w:rsidRPr="00643AA4">
        <w:rPr>
          <w:rFonts w:ascii="Arial" w:hAnsi="Arial" w:cs="Arial"/>
          <w:b/>
          <w:bCs/>
          <w:smallCaps/>
        </w:rPr>
        <w:t>i</w:t>
      </w:r>
      <w:r w:rsidRPr="00643AA4">
        <w:rPr>
          <w:rFonts w:ascii="Arial" w:hAnsi="Arial" w:cs="Arial"/>
          <w:b/>
          <w:bCs/>
          <w:smallCaps/>
        </w:rPr>
        <w:t xml:space="preserve">é de « droit inclusif » par les rapporteurs spéciaux auprès des Nations Unies pour le « droit à la santé » : qu’est-ce que cela signifie ? </w:t>
      </w:r>
    </w:p>
    <w:p w:rsidR="00C42DFB" w:rsidRPr="00643AA4" w:rsidRDefault="00C42DFB" w:rsidP="00643AA4">
      <w:pPr>
        <w:spacing w:after="0"/>
        <w:jc w:val="both"/>
        <w:rPr>
          <w:rFonts w:ascii="Arial" w:hAnsi="Arial" w:cs="Arial"/>
          <w:b/>
          <w:u w:val="single"/>
        </w:rPr>
      </w:pPr>
    </w:p>
    <w:p w:rsidR="00C42DFB" w:rsidRDefault="00C42DFB" w:rsidP="00643AA4">
      <w:pPr>
        <w:spacing w:after="0"/>
        <w:jc w:val="both"/>
        <w:rPr>
          <w:rFonts w:ascii="Arial" w:hAnsi="Arial" w:cs="Arial"/>
          <w:bCs/>
        </w:rPr>
      </w:pPr>
      <w:r w:rsidRPr="00643AA4">
        <w:rPr>
          <w:rFonts w:ascii="Arial" w:hAnsi="Arial" w:cs="Arial"/>
        </w:rPr>
        <w:t>Si le Pacte ONU I définit la santé comme « </w:t>
      </w:r>
      <w:r w:rsidRPr="00643AA4">
        <w:rPr>
          <w:rFonts w:ascii="Arial" w:hAnsi="Arial" w:cs="Arial"/>
          <w:bCs/>
          <w:i/>
          <w:iCs/>
        </w:rPr>
        <w:t>le droit qu'</w:t>
      </w:r>
      <w:proofErr w:type="spellStart"/>
      <w:r w:rsidRPr="00643AA4">
        <w:rPr>
          <w:rFonts w:ascii="Arial" w:hAnsi="Arial" w:cs="Arial"/>
          <w:bCs/>
          <w:i/>
          <w:iCs/>
        </w:rPr>
        <w:t>a</w:t>
      </w:r>
      <w:proofErr w:type="spellEnd"/>
      <w:r w:rsidRPr="00643AA4">
        <w:rPr>
          <w:rFonts w:ascii="Arial" w:hAnsi="Arial" w:cs="Arial"/>
          <w:bCs/>
          <w:i/>
          <w:iCs/>
        </w:rPr>
        <w:t xml:space="preserve"> toute personne de jouir du meilleur état de santé physique et mentale qu'elle soit capable d'atteindre</w:t>
      </w:r>
      <w:r w:rsidRPr="00643AA4">
        <w:rPr>
          <w:rFonts w:ascii="Arial" w:hAnsi="Arial" w:cs="Arial"/>
          <w:bCs/>
        </w:rPr>
        <w:t xml:space="preserve"> », l’acception est aujourd’hui, tant sur le plan suisse que sur le plan international, vu comme un concept plus large, englobant ce qu’on appelle les </w:t>
      </w:r>
      <w:r w:rsidRPr="00643AA4">
        <w:rPr>
          <w:rFonts w:ascii="Arial" w:hAnsi="Arial" w:cs="Arial"/>
          <w:b/>
        </w:rPr>
        <w:t>déterminants sociaux de la santé</w:t>
      </w:r>
      <w:r w:rsidRPr="00643AA4">
        <w:rPr>
          <w:rFonts w:ascii="Arial" w:hAnsi="Arial" w:cs="Arial"/>
          <w:bCs/>
        </w:rPr>
        <w:t xml:space="preserve">. </w:t>
      </w:r>
    </w:p>
    <w:p w:rsidR="00643AA4" w:rsidRPr="00643AA4" w:rsidRDefault="00643AA4" w:rsidP="00643AA4">
      <w:pPr>
        <w:spacing w:after="0"/>
        <w:jc w:val="both"/>
        <w:rPr>
          <w:rFonts w:ascii="Arial" w:hAnsi="Arial" w:cs="Arial"/>
          <w:bCs/>
        </w:rPr>
      </w:pPr>
    </w:p>
    <w:p w:rsidR="00C42DFB" w:rsidRDefault="00C42DFB" w:rsidP="00643AA4">
      <w:pPr>
        <w:spacing w:after="0"/>
        <w:jc w:val="both"/>
        <w:rPr>
          <w:rFonts w:ascii="Arial" w:hAnsi="Arial" w:cs="Arial"/>
        </w:rPr>
      </w:pPr>
      <w:r w:rsidRPr="00643AA4">
        <w:rPr>
          <w:rFonts w:ascii="Arial" w:hAnsi="Arial" w:cs="Arial"/>
          <w:bCs/>
        </w:rPr>
        <w:t xml:space="preserve">Ainsi, </w:t>
      </w:r>
      <w:r w:rsidRPr="00643AA4">
        <w:rPr>
          <w:rFonts w:ascii="Arial" w:hAnsi="Arial" w:cs="Arial"/>
        </w:rPr>
        <w:t>l’Observation Générale n°14 (2000) du Comité des droits économiques, sociaux et culturels définit le droit à la santé comme devant être  « </w:t>
      </w:r>
      <w:r w:rsidRPr="00643AA4">
        <w:rPr>
          <w:rFonts w:ascii="Arial" w:hAnsi="Arial" w:cs="Arial"/>
          <w:i/>
          <w:iCs/>
        </w:rPr>
        <w:t>entendu comme le droit de jouir d'une diversité d'installations, de biens, de services et de conditions nécessaires à la réalisation du droit au meilleur état de santé susceptible d'être atteint</w:t>
      </w:r>
      <w:r w:rsidRPr="00643AA4">
        <w:rPr>
          <w:rFonts w:ascii="Arial" w:hAnsi="Arial" w:cs="Arial"/>
        </w:rPr>
        <w:t>.”</w:t>
      </w:r>
    </w:p>
    <w:p w:rsidR="00643AA4" w:rsidRPr="00643AA4" w:rsidRDefault="00643AA4" w:rsidP="00643AA4">
      <w:pPr>
        <w:spacing w:after="0"/>
        <w:jc w:val="both"/>
        <w:rPr>
          <w:rFonts w:ascii="Arial" w:hAnsi="Arial" w:cs="Arial"/>
        </w:rPr>
      </w:pPr>
    </w:p>
    <w:p w:rsidR="00C42DFB" w:rsidRDefault="00C42DFB" w:rsidP="00643AA4">
      <w:pPr>
        <w:spacing w:after="0"/>
        <w:jc w:val="both"/>
        <w:rPr>
          <w:rFonts w:ascii="Arial" w:hAnsi="Arial" w:cs="Arial"/>
        </w:rPr>
      </w:pPr>
      <w:r w:rsidRPr="00643AA4">
        <w:rPr>
          <w:rFonts w:ascii="Arial" w:hAnsi="Arial" w:cs="Arial"/>
        </w:rPr>
        <w:t xml:space="preserve">Il s’agit dès lors de </w:t>
      </w:r>
      <w:r w:rsidRPr="00643AA4">
        <w:rPr>
          <w:rFonts w:ascii="Arial" w:hAnsi="Arial" w:cs="Arial"/>
          <w:b/>
          <w:bCs/>
        </w:rPr>
        <w:t>tous les facteurs socio-économiques de nature à promouvoir des conditions dans lesquelles les êtres humains peuvent mener une vie saine</w:t>
      </w:r>
      <w:r w:rsidRPr="00643AA4">
        <w:rPr>
          <w:rFonts w:ascii="Arial" w:hAnsi="Arial" w:cs="Arial"/>
        </w:rPr>
        <w:t xml:space="preserve"> (alimentation, nutrition, logement, accès à l’eau salubre et potable, système adéquat d’assainissement, conditions de travail sûre et hygiéniques, éducation à la santé, égalité des sexes). </w:t>
      </w:r>
    </w:p>
    <w:p w:rsidR="00643AA4" w:rsidRPr="00643AA4" w:rsidRDefault="00643AA4" w:rsidP="00643AA4">
      <w:pPr>
        <w:spacing w:after="0"/>
        <w:jc w:val="both"/>
        <w:rPr>
          <w:rFonts w:ascii="Arial" w:hAnsi="Arial" w:cs="Arial"/>
        </w:rPr>
      </w:pPr>
    </w:p>
    <w:p w:rsidR="00C42DFB" w:rsidRDefault="00C42DFB" w:rsidP="00643AA4">
      <w:pPr>
        <w:spacing w:after="0"/>
        <w:jc w:val="both"/>
        <w:rPr>
          <w:rFonts w:ascii="Arial" w:hAnsi="Arial" w:cs="Arial"/>
        </w:rPr>
      </w:pPr>
      <w:r w:rsidRPr="00643AA4">
        <w:rPr>
          <w:rFonts w:ascii="Arial" w:hAnsi="Arial" w:cs="Arial"/>
        </w:rPr>
        <w:t xml:space="preserve">En outre, on retiendra qu’il semble y avoir une contradiction entre </w:t>
      </w:r>
    </w:p>
    <w:p w:rsidR="00C42DFB" w:rsidRPr="00643AA4" w:rsidRDefault="00C42DFB" w:rsidP="00643AA4">
      <w:pPr>
        <w:pStyle w:val="Paragraphedeliste"/>
        <w:numPr>
          <w:ilvl w:val="0"/>
          <w:numId w:val="25"/>
        </w:numPr>
        <w:spacing w:after="0" w:line="259" w:lineRule="auto"/>
        <w:jc w:val="both"/>
        <w:rPr>
          <w:rFonts w:ascii="Arial" w:hAnsi="Arial" w:cs="Arial"/>
          <w:lang w:eastAsia="fr-FR"/>
        </w:rPr>
      </w:pPr>
      <w:r w:rsidRPr="00643AA4">
        <w:rPr>
          <w:rFonts w:ascii="Arial" w:hAnsi="Arial" w:cs="Arial"/>
        </w:rPr>
        <w:t xml:space="preserve">le fait que les </w:t>
      </w:r>
      <w:proofErr w:type="spellStart"/>
      <w:r w:rsidRPr="00643AA4">
        <w:rPr>
          <w:rFonts w:ascii="Arial" w:hAnsi="Arial" w:cs="Arial"/>
        </w:rPr>
        <w:t>Etats</w:t>
      </w:r>
      <w:proofErr w:type="spellEnd"/>
      <w:r w:rsidRPr="00643AA4">
        <w:rPr>
          <w:rFonts w:ascii="Arial" w:hAnsi="Arial" w:cs="Arial"/>
        </w:rPr>
        <w:t xml:space="preserve"> signataires s’engagent à agir selon l’art. 2 al. 1 Pacte ONU I : « </w:t>
      </w:r>
      <w:r w:rsidRPr="00643AA4">
        <w:rPr>
          <w:rFonts w:ascii="Arial" w:hAnsi="Arial" w:cs="Arial"/>
          <w:i/>
          <w:iCs/>
          <w:lang w:eastAsia="fr-FR"/>
        </w:rPr>
        <w:t xml:space="preserve">Chacun des </w:t>
      </w:r>
      <w:proofErr w:type="spellStart"/>
      <w:r w:rsidRPr="00643AA4">
        <w:rPr>
          <w:rFonts w:ascii="Arial" w:hAnsi="Arial" w:cs="Arial"/>
          <w:i/>
          <w:iCs/>
          <w:lang w:eastAsia="fr-FR"/>
        </w:rPr>
        <w:t>Etats</w:t>
      </w:r>
      <w:proofErr w:type="spellEnd"/>
      <w:r w:rsidRPr="00643AA4">
        <w:rPr>
          <w:rFonts w:ascii="Arial" w:hAnsi="Arial" w:cs="Arial"/>
          <w:i/>
          <w:iCs/>
          <w:lang w:eastAsia="fr-FR"/>
        </w:rPr>
        <w:t xml:space="preserve"> parties au présent Pacte </w:t>
      </w:r>
      <w:r w:rsidRPr="00643AA4">
        <w:rPr>
          <w:rFonts w:ascii="Arial" w:hAnsi="Arial" w:cs="Arial"/>
          <w:b/>
          <w:bCs/>
          <w:i/>
          <w:iCs/>
          <w:lang w:eastAsia="fr-FR"/>
        </w:rPr>
        <w:t>s’engage à agir</w:t>
      </w:r>
      <w:r w:rsidRPr="00643AA4">
        <w:rPr>
          <w:rFonts w:ascii="Arial" w:hAnsi="Arial" w:cs="Arial"/>
          <w:i/>
          <w:iCs/>
          <w:lang w:eastAsia="fr-FR"/>
        </w:rPr>
        <w:t xml:space="preserve">, tant par son effort propre que par l’assistance et la coopération internationales, notamment sur les plans économique et technique, au maximum de ses ressources disponibles, en vue d’assurer progressivement le plein exercice des droits reconnus dans le présent Pacte par tous les moyens appropriés, </w:t>
      </w:r>
      <w:r w:rsidRPr="00643AA4">
        <w:rPr>
          <w:rFonts w:ascii="Arial" w:hAnsi="Arial" w:cs="Arial"/>
          <w:b/>
          <w:bCs/>
          <w:i/>
          <w:iCs/>
          <w:lang w:eastAsia="fr-FR"/>
        </w:rPr>
        <w:t>y compris en particulier l’adoption de mesures législatives</w:t>
      </w:r>
      <w:r w:rsidRPr="00643AA4">
        <w:rPr>
          <w:rFonts w:ascii="Arial" w:hAnsi="Arial" w:cs="Arial"/>
          <w:lang w:eastAsia="fr-FR"/>
        </w:rPr>
        <w:t> »</w:t>
      </w:r>
    </w:p>
    <w:p w:rsidR="00C42DFB" w:rsidRPr="00643AA4" w:rsidRDefault="00C42DFB" w:rsidP="00643AA4">
      <w:pPr>
        <w:pStyle w:val="Paragraphedeliste"/>
        <w:spacing w:after="0"/>
        <w:jc w:val="both"/>
        <w:rPr>
          <w:rFonts w:ascii="Arial" w:hAnsi="Arial" w:cs="Arial"/>
          <w:lang w:eastAsia="fr-FR"/>
        </w:rPr>
      </w:pPr>
    </w:p>
    <w:p w:rsidR="00643AA4" w:rsidRPr="00643AA4" w:rsidRDefault="00C42DFB" w:rsidP="00643AA4">
      <w:pPr>
        <w:pStyle w:val="Paragraphedeliste"/>
        <w:numPr>
          <w:ilvl w:val="0"/>
          <w:numId w:val="25"/>
        </w:numPr>
        <w:spacing w:after="0" w:line="259" w:lineRule="auto"/>
        <w:jc w:val="both"/>
        <w:rPr>
          <w:rFonts w:ascii="Arial" w:hAnsi="Arial" w:cs="Arial"/>
        </w:rPr>
      </w:pPr>
      <w:r w:rsidRPr="00643AA4">
        <w:rPr>
          <w:rFonts w:ascii="Arial" w:hAnsi="Arial" w:cs="Arial"/>
        </w:rPr>
        <w:t xml:space="preserve">le fait </w:t>
      </w:r>
      <w:r w:rsidRPr="00643AA4">
        <w:rPr>
          <w:rFonts w:ascii="Arial" w:hAnsi="Arial" w:cs="Arial"/>
          <w:b/>
          <w:bCs/>
        </w:rPr>
        <w:t>qu’on ne peut pas garantir la santé</w:t>
      </w:r>
      <w:r w:rsidRPr="00643AA4">
        <w:rPr>
          <w:rFonts w:ascii="Arial" w:hAnsi="Arial" w:cs="Arial"/>
        </w:rPr>
        <w:t xml:space="preserve"> selon l’art. 12 Pacte ONU I : « </w:t>
      </w:r>
      <w:r w:rsidRPr="00643AA4">
        <w:rPr>
          <w:rFonts w:ascii="Arial" w:hAnsi="Arial" w:cs="Arial"/>
          <w:i/>
          <w:iCs/>
        </w:rPr>
        <w:t xml:space="preserve">Les </w:t>
      </w:r>
      <w:proofErr w:type="spellStart"/>
      <w:r w:rsidRPr="00643AA4">
        <w:rPr>
          <w:rFonts w:ascii="Arial" w:hAnsi="Arial" w:cs="Arial"/>
          <w:i/>
          <w:iCs/>
        </w:rPr>
        <w:t>Etats</w:t>
      </w:r>
      <w:proofErr w:type="spellEnd"/>
      <w:r w:rsidRPr="00643AA4">
        <w:rPr>
          <w:rFonts w:ascii="Arial" w:hAnsi="Arial" w:cs="Arial"/>
          <w:i/>
          <w:iCs/>
        </w:rPr>
        <w:t xml:space="preserve"> parties au présent Pacte </w:t>
      </w:r>
      <w:r w:rsidRPr="00643AA4">
        <w:rPr>
          <w:rFonts w:ascii="Arial" w:hAnsi="Arial" w:cs="Arial"/>
          <w:bCs/>
          <w:i/>
          <w:iCs/>
        </w:rPr>
        <w:t>reconnaissent le droit qu'</w:t>
      </w:r>
      <w:proofErr w:type="spellStart"/>
      <w:r w:rsidRPr="00643AA4">
        <w:rPr>
          <w:rFonts w:ascii="Arial" w:hAnsi="Arial" w:cs="Arial"/>
          <w:bCs/>
          <w:i/>
          <w:iCs/>
        </w:rPr>
        <w:t>a</w:t>
      </w:r>
      <w:proofErr w:type="spellEnd"/>
      <w:r w:rsidRPr="00643AA4">
        <w:rPr>
          <w:rFonts w:ascii="Arial" w:hAnsi="Arial" w:cs="Arial"/>
          <w:bCs/>
          <w:i/>
          <w:iCs/>
        </w:rPr>
        <w:t xml:space="preserve"> toute personne de jouir du meilleur état de santé physique et mentale qu'elle soit capable d'atteindre</w:t>
      </w:r>
      <w:r w:rsidRPr="00643AA4">
        <w:rPr>
          <w:rFonts w:ascii="Arial" w:hAnsi="Arial" w:cs="Arial"/>
          <w:bCs/>
        </w:rPr>
        <w:t xml:space="preserve"> ». </w:t>
      </w:r>
    </w:p>
    <w:p w:rsidR="00643AA4" w:rsidRPr="00643AA4" w:rsidRDefault="00643AA4" w:rsidP="00643AA4">
      <w:pPr>
        <w:spacing w:after="0" w:line="259" w:lineRule="auto"/>
        <w:jc w:val="both"/>
        <w:rPr>
          <w:rFonts w:ascii="Arial" w:hAnsi="Arial" w:cs="Arial"/>
        </w:rPr>
      </w:pPr>
    </w:p>
    <w:p w:rsidR="00C42DFB" w:rsidRDefault="00C42DFB" w:rsidP="00643AA4">
      <w:pPr>
        <w:spacing w:after="0"/>
        <w:jc w:val="both"/>
        <w:rPr>
          <w:rFonts w:ascii="Arial" w:hAnsi="Arial" w:cs="Arial"/>
        </w:rPr>
      </w:pPr>
      <w:r w:rsidRPr="00643AA4">
        <w:rPr>
          <w:rFonts w:ascii="Arial" w:hAnsi="Arial" w:cs="Arial"/>
        </w:rPr>
        <w:t xml:space="preserve">A relever ici que les </w:t>
      </w:r>
      <w:proofErr w:type="spellStart"/>
      <w:r w:rsidRPr="00643AA4">
        <w:rPr>
          <w:rFonts w:ascii="Arial" w:hAnsi="Arial" w:cs="Arial"/>
        </w:rPr>
        <w:t>Etats</w:t>
      </w:r>
      <w:proofErr w:type="spellEnd"/>
      <w:r w:rsidRPr="00643AA4">
        <w:rPr>
          <w:rFonts w:ascii="Arial" w:hAnsi="Arial" w:cs="Arial"/>
        </w:rPr>
        <w:t xml:space="preserve"> signataires peuvent agir non sur la santé en tant que telle d’un individu mais sur les déterminants sociaux de la santé, ce qui se traduit notamment par l’OPA (ordonnance sur la prévention des accidents) ou encore la gratuité de certaines mesures de prévention en </w:t>
      </w:r>
      <w:proofErr w:type="spellStart"/>
      <w:r w:rsidRPr="00643AA4">
        <w:rPr>
          <w:rFonts w:ascii="Arial" w:hAnsi="Arial" w:cs="Arial"/>
        </w:rPr>
        <w:t>LAMal</w:t>
      </w:r>
      <w:proofErr w:type="spellEnd"/>
      <w:r w:rsidRPr="00643AA4">
        <w:rPr>
          <w:rFonts w:ascii="Arial" w:hAnsi="Arial" w:cs="Arial"/>
        </w:rPr>
        <w:t xml:space="preserve"> (voir ici l’OPAS), notamment des vaccins ou des mesures sur la protection au travail par la </w:t>
      </w:r>
      <w:proofErr w:type="spellStart"/>
      <w:r w:rsidRPr="00643AA4">
        <w:rPr>
          <w:rFonts w:ascii="Arial" w:hAnsi="Arial" w:cs="Arial"/>
        </w:rPr>
        <w:t>LTr</w:t>
      </w:r>
      <w:proofErr w:type="spellEnd"/>
      <w:r w:rsidRPr="00643AA4">
        <w:rPr>
          <w:rFonts w:ascii="Arial" w:hAnsi="Arial" w:cs="Arial"/>
        </w:rPr>
        <w:t xml:space="preserve"> (loi sur le travail) et ses ordonnances OLT1 à 5 ou encore des normes protectrices anti-bruit en aménagement du territoire (lutte contre la pollution sonore, qui impacte la santé) ou les dispositions d’accessibilité à des bâtiments pour les personnes à mobilité réduite (</w:t>
      </w:r>
      <w:proofErr w:type="spellStart"/>
      <w:r w:rsidRPr="00643AA4">
        <w:rPr>
          <w:rFonts w:ascii="Arial" w:hAnsi="Arial" w:cs="Arial"/>
        </w:rPr>
        <w:t>LHand</w:t>
      </w:r>
      <w:proofErr w:type="spellEnd"/>
      <w:r w:rsidRPr="00643AA4">
        <w:rPr>
          <w:rFonts w:ascii="Arial" w:hAnsi="Arial" w:cs="Arial"/>
        </w:rPr>
        <w:t xml:space="preserve">). </w:t>
      </w:r>
    </w:p>
    <w:p w:rsidR="00643AA4" w:rsidRPr="00643AA4" w:rsidRDefault="00643AA4" w:rsidP="00643AA4">
      <w:pPr>
        <w:spacing w:after="0"/>
        <w:jc w:val="both"/>
        <w:rPr>
          <w:rFonts w:ascii="Arial" w:hAnsi="Arial" w:cs="Arial"/>
        </w:rPr>
      </w:pPr>
    </w:p>
    <w:p w:rsidR="00C42DFB" w:rsidRDefault="00C42DFB" w:rsidP="00643AA4">
      <w:pPr>
        <w:spacing w:after="0"/>
        <w:jc w:val="both"/>
        <w:rPr>
          <w:rFonts w:ascii="Arial" w:hAnsi="Arial" w:cs="Arial"/>
        </w:rPr>
      </w:pPr>
      <w:r w:rsidRPr="00643AA4">
        <w:rPr>
          <w:rFonts w:ascii="Arial" w:hAnsi="Arial" w:cs="Arial"/>
        </w:rPr>
        <w:t xml:space="preserve">Le système de soin (diagnostiquer, soigner et traiter) n’est pas auto-suffisant : il s’agit également de veiller aux services qui permettent de rester en bonne santé dans le but de maintenir un « cercle vertueux ». </w:t>
      </w:r>
    </w:p>
    <w:p w:rsidR="00643AA4" w:rsidRPr="00643AA4" w:rsidRDefault="00643AA4" w:rsidP="00643AA4">
      <w:pPr>
        <w:spacing w:after="0"/>
        <w:jc w:val="both"/>
        <w:rPr>
          <w:rFonts w:ascii="Arial" w:hAnsi="Arial" w:cs="Arial"/>
        </w:rPr>
      </w:pPr>
    </w:p>
    <w:p w:rsidR="00F73E60" w:rsidRPr="00643AA4" w:rsidRDefault="00F73E60" w:rsidP="00643AA4">
      <w:pPr>
        <w:spacing w:after="0"/>
        <w:jc w:val="both"/>
        <w:rPr>
          <w:rFonts w:ascii="Arial" w:hAnsi="Arial" w:cs="Arial"/>
        </w:rPr>
      </w:pPr>
      <w:r w:rsidRPr="00643AA4">
        <w:rPr>
          <w:rFonts w:ascii="Arial" w:hAnsi="Arial" w:cs="Arial"/>
        </w:rPr>
        <w:t xml:space="preserve">On relèvera la nécessité d’une bonne accessibilité, d’une bonne acceptabilité notamment des services de soin, tout comme la nécessité d’une bonne information. </w:t>
      </w:r>
    </w:p>
    <w:p w:rsidR="00643AA4" w:rsidRDefault="00643AA4" w:rsidP="00643AA4">
      <w:pPr>
        <w:spacing w:after="0"/>
        <w:jc w:val="both"/>
        <w:rPr>
          <w:rFonts w:ascii="Arial" w:hAnsi="Arial" w:cs="Arial"/>
          <w:b/>
          <w:bCs/>
          <w:caps/>
        </w:rPr>
      </w:pPr>
    </w:p>
    <w:p w:rsidR="00643AA4" w:rsidRPr="00643AA4" w:rsidRDefault="00643AA4" w:rsidP="00643AA4">
      <w:pPr>
        <w:spacing w:after="0"/>
        <w:jc w:val="both"/>
        <w:rPr>
          <w:rFonts w:ascii="Arial" w:hAnsi="Arial" w:cs="Arial"/>
        </w:rPr>
      </w:pPr>
      <w:r w:rsidRPr="00643AA4">
        <w:rPr>
          <w:rFonts w:ascii="Arial" w:hAnsi="Arial" w:cs="Arial"/>
          <w:b/>
          <w:bCs/>
          <w:caps/>
        </w:rPr>
        <w:lastRenderedPageBreak/>
        <w:t xml:space="preserve">droit à la santé (international) </w:t>
      </w:r>
    </w:p>
    <w:p w:rsidR="00643AA4" w:rsidRPr="00643AA4" w:rsidRDefault="00643AA4" w:rsidP="00643AA4">
      <w:pPr>
        <w:pBdr>
          <w:bottom w:val="single" w:sz="12" w:space="1" w:color="auto"/>
        </w:pBdr>
        <w:spacing w:after="0"/>
        <w:jc w:val="both"/>
        <w:rPr>
          <w:rFonts w:ascii="Arial" w:hAnsi="Arial" w:cs="Arial"/>
          <w:b/>
          <w:bCs/>
          <w:smallCaps/>
        </w:rPr>
      </w:pPr>
    </w:p>
    <w:p w:rsidR="00643AA4" w:rsidRPr="00643AA4" w:rsidRDefault="00643AA4" w:rsidP="00643AA4">
      <w:pPr>
        <w:pBdr>
          <w:bottom w:val="single" w:sz="12" w:space="1" w:color="auto"/>
        </w:pBdr>
        <w:spacing w:after="0"/>
        <w:jc w:val="both"/>
        <w:rPr>
          <w:rFonts w:ascii="Arial" w:hAnsi="Arial" w:cs="Arial"/>
          <w:b/>
          <w:bCs/>
          <w:smallCaps/>
        </w:rPr>
      </w:pPr>
      <w:r w:rsidRPr="00643AA4">
        <w:rPr>
          <w:rFonts w:ascii="Arial" w:hAnsi="Arial" w:cs="Arial"/>
          <w:b/>
          <w:bCs/>
          <w:smallCaps/>
        </w:rPr>
        <w:t xml:space="preserve">Comment est-il possible d’observer la mise en œuvre du droit de la santé dans le </w:t>
      </w:r>
      <w:proofErr w:type="spellStart"/>
      <w:r w:rsidRPr="00643AA4">
        <w:rPr>
          <w:rFonts w:ascii="Arial" w:hAnsi="Arial" w:cs="Arial"/>
          <w:b/>
          <w:bCs/>
          <w:smallCaps/>
        </w:rPr>
        <w:t>mond</w:t>
      </w:r>
      <w:proofErr w:type="spellEnd"/>
      <w:r w:rsidRPr="00643AA4">
        <w:rPr>
          <w:rFonts w:ascii="Arial" w:hAnsi="Arial" w:cs="Arial"/>
          <w:b/>
          <w:bCs/>
          <w:smallCaps/>
        </w:rPr>
        <w:t xml:space="preserve">e </w:t>
      </w:r>
      <w:r w:rsidRPr="00643AA4">
        <w:rPr>
          <w:rFonts w:ascii="Arial" w:hAnsi="Arial" w:cs="Arial"/>
          <w:b/>
          <w:bCs/>
          <w:smallCaps/>
        </w:rPr>
        <w:t xml:space="preserve"> ? </w:t>
      </w:r>
    </w:p>
    <w:p w:rsidR="00643AA4" w:rsidRPr="00643AA4" w:rsidRDefault="00643AA4" w:rsidP="00643AA4">
      <w:pPr>
        <w:spacing w:after="0"/>
        <w:jc w:val="both"/>
        <w:rPr>
          <w:rFonts w:ascii="Arial" w:hAnsi="Arial" w:cs="Arial"/>
          <w:b/>
          <w:u w:val="single"/>
        </w:rPr>
      </w:pPr>
    </w:p>
    <w:p w:rsidR="00C42DFB" w:rsidRPr="00643AA4" w:rsidRDefault="00C42DFB" w:rsidP="00643AA4">
      <w:pPr>
        <w:spacing w:after="0"/>
        <w:jc w:val="both"/>
        <w:rPr>
          <w:rFonts w:ascii="Arial" w:hAnsi="Arial" w:cs="Arial"/>
        </w:rPr>
      </w:pPr>
      <w:r w:rsidRPr="00643AA4">
        <w:rPr>
          <w:rFonts w:ascii="Arial" w:hAnsi="Arial" w:cs="Arial"/>
        </w:rPr>
        <w:t xml:space="preserve">La mise en œuvre du droit de la santé peut s’évaluer selon 4 critères, à savoir </w:t>
      </w:r>
    </w:p>
    <w:p w:rsidR="00C42DFB" w:rsidRPr="00643AA4" w:rsidRDefault="00C42DFB" w:rsidP="00643AA4">
      <w:pPr>
        <w:spacing w:after="0"/>
        <w:jc w:val="both"/>
        <w:rPr>
          <w:rFonts w:ascii="Arial" w:hAnsi="Arial" w:cs="Arial"/>
        </w:rPr>
      </w:pPr>
    </w:p>
    <w:p w:rsidR="00C42DFB" w:rsidRDefault="00C42DFB" w:rsidP="00643AA4">
      <w:pPr>
        <w:pStyle w:val="Paragraphedeliste"/>
        <w:numPr>
          <w:ilvl w:val="0"/>
          <w:numId w:val="26"/>
        </w:numPr>
        <w:spacing w:after="0" w:line="259" w:lineRule="auto"/>
        <w:jc w:val="both"/>
        <w:rPr>
          <w:rFonts w:ascii="Arial" w:hAnsi="Arial" w:cs="Arial"/>
        </w:rPr>
      </w:pPr>
      <w:r w:rsidRPr="00643AA4">
        <w:rPr>
          <w:rFonts w:ascii="Arial" w:hAnsi="Arial" w:cs="Arial"/>
          <w:b/>
          <w:bCs/>
        </w:rPr>
        <w:t>Disponibilité</w:t>
      </w:r>
      <w:r w:rsidRPr="00643AA4">
        <w:rPr>
          <w:rFonts w:ascii="Arial" w:hAnsi="Arial" w:cs="Arial"/>
        </w:rPr>
        <w:t xml:space="preserve"> (soins et services de santé – quantité suffisante- programme de Santé publique...)</w:t>
      </w:r>
    </w:p>
    <w:p w:rsidR="00643AA4" w:rsidRPr="00643AA4" w:rsidRDefault="00643AA4" w:rsidP="00643AA4">
      <w:pPr>
        <w:pStyle w:val="Paragraphedeliste"/>
        <w:spacing w:after="0" w:line="259" w:lineRule="auto"/>
        <w:ind w:left="360"/>
        <w:jc w:val="both"/>
        <w:rPr>
          <w:rFonts w:ascii="Arial" w:hAnsi="Arial" w:cs="Arial"/>
        </w:rPr>
      </w:pPr>
    </w:p>
    <w:p w:rsidR="00C42DFB" w:rsidRDefault="00C42DFB" w:rsidP="00643AA4">
      <w:pPr>
        <w:pStyle w:val="Paragraphedeliste"/>
        <w:numPr>
          <w:ilvl w:val="0"/>
          <w:numId w:val="26"/>
        </w:numPr>
        <w:spacing w:after="0" w:line="259" w:lineRule="auto"/>
        <w:jc w:val="both"/>
        <w:rPr>
          <w:rFonts w:ascii="Arial" w:hAnsi="Arial" w:cs="Arial"/>
        </w:rPr>
      </w:pPr>
      <w:r w:rsidRPr="00643AA4">
        <w:rPr>
          <w:rFonts w:ascii="Arial" w:hAnsi="Arial" w:cs="Arial"/>
          <w:b/>
          <w:bCs/>
        </w:rPr>
        <w:t>Accessibilité</w:t>
      </w:r>
      <w:r w:rsidRPr="00643AA4">
        <w:rPr>
          <w:rFonts w:ascii="Arial" w:hAnsi="Arial" w:cs="Arial"/>
        </w:rPr>
        <w:t xml:space="preserve"> (physique – économique – informationnel) sans discriminations (art. 8 </w:t>
      </w:r>
      <w:proofErr w:type="spellStart"/>
      <w:r w:rsidRPr="00643AA4">
        <w:rPr>
          <w:rFonts w:ascii="Arial" w:hAnsi="Arial" w:cs="Arial"/>
        </w:rPr>
        <w:t>Cst</w:t>
      </w:r>
      <w:proofErr w:type="spellEnd"/>
      <w:r w:rsidRPr="00643AA4">
        <w:rPr>
          <w:rFonts w:ascii="Arial" w:hAnsi="Arial" w:cs="Arial"/>
        </w:rPr>
        <w:t xml:space="preserve"> par exemple)</w:t>
      </w:r>
    </w:p>
    <w:p w:rsidR="00643AA4" w:rsidRPr="00643AA4" w:rsidRDefault="00643AA4" w:rsidP="00643AA4">
      <w:pPr>
        <w:spacing w:after="0" w:line="259" w:lineRule="auto"/>
        <w:jc w:val="both"/>
        <w:rPr>
          <w:rFonts w:ascii="Arial" w:hAnsi="Arial" w:cs="Arial"/>
        </w:rPr>
      </w:pPr>
    </w:p>
    <w:p w:rsidR="00C42DFB" w:rsidRDefault="00C42DFB" w:rsidP="00643AA4">
      <w:pPr>
        <w:pStyle w:val="Paragraphedeliste"/>
        <w:numPr>
          <w:ilvl w:val="0"/>
          <w:numId w:val="26"/>
        </w:numPr>
        <w:spacing w:after="0" w:line="259" w:lineRule="auto"/>
        <w:jc w:val="both"/>
        <w:rPr>
          <w:rFonts w:ascii="Arial" w:hAnsi="Arial" w:cs="Arial"/>
        </w:rPr>
      </w:pPr>
      <w:r w:rsidRPr="00643AA4">
        <w:rPr>
          <w:rFonts w:ascii="Arial" w:hAnsi="Arial" w:cs="Arial"/>
          <w:b/>
          <w:bCs/>
        </w:rPr>
        <w:t>Acceptabilité</w:t>
      </w:r>
      <w:r w:rsidRPr="00643AA4">
        <w:rPr>
          <w:rFonts w:ascii="Arial" w:hAnsi="Arial" w:cs="Arial"/>
        </w:rPr>
        <w:t xml:space="preserve"> (respect de l’éthique médicale – prise en compte du sexe et du genre et qui tient compte de la culture « appropriée » selon la communauté dans laquelle s’inscrit l’intervention)</w:t>
      </w:r>
    </w:p>
    <w:p w:rsidR="00643AA4" w:rsidRPr="00643AA4" w:rsidRDefault="00643AA4" w:rsidP="00643AA4">
      <w:pPr>
        <w:spacing w:after="0" w:line="259" w:lineRule="auto"/>
        <w:jc w:val="both"/>
        <w:rPr>
          <w:rFonts w:ascii="Arial" w:hAnsi="Arial" w:cs="Arial"/>
        </w:rPr>
      </w:pPr>
    </w:p>
    <w:p w:rsidR="00C42DFB" w:rsidRPr="00643AA4" w:rsidRDefault="00C42DFB" w:rsidP="00643AA4">
      <w:pPr>
        <w:pStyle w:val="Paragraphedeliste"/>
        <w:numPr>
          <w:ilvl w:val="0"/>
          <w:numId w:val="26"/>
        </w:numPr>
        <w:spacing w:after="0" w:line="259" w:lineRule="auto"/>
        <w:jc w:val="both"/>
        <w:rPr>
          <w:rFonts w:ascii="Arial" w:hAnsi="Arial" w:cs="Arial"/>
        </w:rPr>
      </w:pPr>
      <w:r w:rsidRPr="00643AA4">
        <w:rPr>
          <w:rFonts w:ascii="Arial" w:hAnsi="Arial" w:cs="Arial"/>
          <w:b/>
          <w:bCs/>
        </w:rPr>
        <w:t>Qualité</w:t>
      </w:r>
      <w:r w:rsidRPr="00643AA4">
        <w:rPr>
          <w:rFonts w:ascii="Arial" w:hAnsi="Arial" w:cs="Arial"/>
        </w:rPr>
        <w:t xml:space="preserve"> (pour la Suisse = </w:t>
      </w:r>
      <w:proofErr w:type="spellStart"/>
      <w:r w:rsidRPr="00643AA4">
        <w:rPr>
          <w:rFonts w:ascii="Arial" w:hAnsi="Arial" w:cs="Arial"/>
        </w:rPr>
        <w:t>LPMed</w:t>
      </w:r>
      <w:proofErr w:type="spellEnd"/>
      <w:r w:rsidRPr="00643AA4">
        <w:rPr>
          <w:rFonts w:ascii="Arial" w:hAnsi="Arial" w:cs="Arial"/>
        </w:rPr>
        <w:t xml:space="preserve">- </w:t>
      </w:r>
      <w:proofErr w:type="spellStart"/>
      <w:r w:rsidRPr="00643AA4">
        <w:rPr>
          <w:rFonts w:ascii="Arial" w:hAnsi="Arial" w:cs="Arial"/>
        </w:rPr>
        <w:t>LPSan</w:t>
      </w:r>
      <w:proofErr w:type="spellEnd"/>
      <w:r w:rsidRPr="00643AA4">
        <w:rPr>
          <w:rFonts w:ascii="Arial" w:hAnsi="Arial" w:cs="Arial"/>
        </w:rPr>
        <w:t xml:space="preserve"> par exemple) </w:t>
      </w: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 xml:space="preserve">Ces critères font office de liste de contrôle dans le cadre de la prise de décisions des gouvernements en faveur de la couverture de santé universelle (voir </w:t>
      </w:r>
      <w:proofErr w:type="spellStart"/>
      <w:r w:rsidRPr="00643AA4">
        <w:rPr>
          <w:rFonts w:ascii="Arial" w:hAnsi="Arial" w:cs="Arial"/>
        </w:rPr>
        <w:t>LAMal</w:t>
      </w:r>
      <w:proofErr w:type="spellEnd"/>
      <w:r w:rsidRPr="00643AA4">
        <w:rPr>
          <w:rFonts w:ascii="Arial" w:hAnsi="Arial" w:cs="Arial"/>
        </w:rPr>
        <w:t xml:space="preserve">). </w:t>
      </w: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Dont 3 niveaux d’obligations :</w:t>
      </w:r>
    </w:p>
    <w:p w:rsidR="00C42DFB" w:rsidRPr="00643AA4" w:rsidRDefault="00C42DFB" w:rsidP="00643AA4">
      <w:pPr>
        <w:pStyle w:val="Paragraphedeliste"/>
        <w:numPr>
          <w:ilvl w:val="0"/>
          <w:numId w:val="27"/>
        </w:numPr>
        <w:spacing w:after="0" w:line="259" w:lineRule="auto"/>
        <w:jc w:val="both"/>
        <w:rPr>
          <w:rFonts w:ascii="Arial" w:hAnsi="Arial" w:cs="Arial"/>
        </w:rPr>
      </w:pPr>
      <w:r w:rsidRPr="00643AA4">
        <w:rPr>
          <w:rFonts w:ascii="Arial" w:hAnsi="Arial" w:cs="Arial"/>
        </w:rPr>
        <w:t>Respect (l’</w:t>
      </w:r>
      <w:proofErr w:type="spellStart"/>
      <w:r w:rsidRPr="00643AA4">
        <w:rPr>
          <w:rFonts w:ascii="Arial" w:hAnsi="Arial" w:cs="Arial"/>
        </w:rPr>
        <w:t>Etat</w:t>
      </w:r>
      <w:proofErr w:type="spellEnd"/>
      <w:r w:rsidRPr="00643AA4">
        <w:rPr>
          <w:rFonts w:ascii="Arial" w:hAnsi="Arial" w:cs="Arial"/>
        </w:rPr>
        <w:t xml:space="preserve"> de ne pas pratiquer de la discrimination)</w:t>
      </w:r>
    </w:p>
    <w:p w:rsidR="00C42DFB" w:rsidRPr="00643AA4" w:rsidRDefault="00C42DFB" w:rsidP="00643AA4">
      <w:pPr>
        <w:pStyle w:val="Paragraphedeliste"/>
        <w:numPr>
          <w:ilvl w:val="0"/>
          <w:numId w:val="27"/>
        </w:numPr>
        <w:spacing w:after="0" w:line="259" w:lineRule="auto"/>
        <w:jc w:val="both"/>
        <w:rPr>
          <w:rFonts w:ascii="Arial" w:hAnsi="Arial" w:cs="Arial"/>
        </w:rPr>
      </w:pPr>
      <w:r w:rsidRPr="00643AA4">
        <w:rPr>
          <w:rFonts w:ascii="Arial" w:hAnsi="Arial" w:cs="Arial"/>
        </w:rPr>
        <w:t xml:space="preserve">Protection (des tiers en adoptant et mettant en œuvre des règlementations par exemple en matière de denrées alimentaires ou contre le tabagisme passif) </w:t>
      </w:r>
    </w:p>
    <w:p w:rsidR="00C42DFB" w:rsidRPr="00643AA4" w:rsidRDefault="00C42DFB" w:rsidP="00643AA4">
      <w:pPr>
        <w:pStyle w:val="Paragraphedeliste"/>
        <w:numPr>
          <w:ilvl w:val="0"/>
          <w:numId w:val="27"/>
        </w:numPr>
        <w:spacing w:after="0" w:line="259" w:lineRule="auto"/>
        <w:jc w:val="both"/>
        <w:rPr>
          <w:rFonts w:ascii="Arial" w:hAnsi="Arial" w:cs="Arial"/>
        </w:rPr>
      </w:pPr>
      <w:r w:rsidRPr="00643AA4">
        <w:rPr>
          <w:rFonts w:ascii="Arial" w:hAnsi="Arial" w:cs="Arial"/>
        </w:rPr>
        <w:t>Mise en œuvre (programmes mis en place et permettent d’améliorer le style de vie des personnes, notamment par des taxes sucres et sel –sensibilisation aux effets du tabagisme).</w:t>
      </w:r>
    </w:p>
    <w:p w:rsidR="00C42DFB" w:rsidRPr="00643AA4" w:rsidRDefault="00C42DFB" w:rsidP="00643AA4">
      <w:pPr>
        <w:spacing w:after="0"/>
        <w:jc w:val="both"/>
        <w:rPr>
          <w:rFonts w:ascii="Arial" w:hAnsi="Arial" w:cs="Arial"/>
        </w:rPr>
      </w:pPr>
    </w:p>
    <w:p w:rsidR="00643AA4" w:rsidRPr="00643AA4" w:rsidRDefault="00C42DFB" w:rsidP="00643AA4">
      <w:pPr>
        <w:spacing w:after="0"/>
        <w:jc w:val="both"/>
        <w:rPr>
          <w:rFonts w:ascii="Arial" w:hAnsi="Arial" w:cs="Arial"/>
        </w:rPr>
      </w:pPr>
      <w:r w:rsidRPr="00643AA4">
        <w:rPr>
          <w:rFonts w:ascii="Arial" w:hAnsi="Arial" w:cs="Arial"/>
        </w:rPr>
        <w:t>Pour ce qui est de « observer » dans la question posée, on peut retenir parmi les différentes obligations découlant des textes internationaux celle de</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 xml:space="preserve">L’envoi régulier de rapports par les </w:t>
      </w:r>
      <w:proofErr w:type="spellStart"/>
      <w:r w:rsidRPr="00643AA4">
        <w:rPr>
          <w:rFonts w:ascii="Arial" w:hAnsi="Arial" w:cs="Arial"/>
        </w:rPr>
        <w:t>Etats</w:t>
      </w:r>
      <w:proofErr w:type="spellEnd"/>
      <w:r w:rsidRPr="00643AA4">
        <w:rPr>
          <w:rFonts w:ascii="Arial" w:hAnsi="Arial" w:cs="Arial"/>
        </w:rPr>
        <w:t xml:space="preserve"> à l’autorité supranationale </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 xml:space="preserve">Les rapports des rapporteurs spéciaux </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 xml:space="preserve">Les mécanismes de plaintes par des particuliers (ou des </w:t>
      </w:r>
      <w:proofErr w:type="spellStart"/>
      <w:r w:rsidRPr="00643AA4">
        <w:rPr>
          <w:rFonts w:ascii="Arial" w:hAnsi="Arial" w:cs="Arial"/>
        </w:rPr>
        <w:t>Etats</w:t>
      </w:r>
      <w:proofErr w:type="spellEnd"/>
      <w:r w:rsidRPr="00643AA4">
        <w:rPr>
          <w:rFonts w:ascii="Arial" w:hAnsi="Arial" w:cs="Arial"/>
        </w:rPr>
        <w:t xml:space="preserve">) devant des organes internationaux des traités </w:t>
      </w:r>
    </w:p>
    <w:p w:rsidR="00C42DFB"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Au plan régional, les plaintes devant les tribunaux, la mise en œuvre de procédures judiciaires devant les cours et les tribunaux de l’</w:t>
      </w:r>
      <w:proofErr w:type="spellStart"/>
      <w:r w:rsidRPr="00643AA4">
        <w:rPr>
          <w:rFonts w:ascii="Arial" w:hAnsi="Arial" w:cs="Arial"/>
        </w:rPr>
        <w:t>Etat</w:t>
      </w:r>
      <w:proofErr w:type="spellEnd"/>
      <w:r w:rsidRPr="00643AA4">
        <w:rPr>
          <w:rFonts w:ascii="Arial" w:hAnsi="Arial" w:cs="Arial"/>
        </w:rPr>
        <w:t xml:space="preserve"> dans lequel la violation d’un droit a eu lieu</w:t>
      </w:r>
    </w:p>
    <w:p w:rsidR="00643AA4" w:rsidRPr="00643AA4" w:rsidRDefault="00643AA4" w:rsidP="00643AA4">
      <w:pPr>
        <w:spacing w:after="0" w:line="259" w:lineRule="auto"/>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Le Pacte ONU I prévoit l’obligation d’établissement tous les 5 ans sur les mesures adoptées par les pays signataires pour assure une mise en œuvre effective du droit de la santé (art. 16 Pacte ONU I)</w:t>
      </w: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 xml:space="preserve">Le protocole facultatif au Pacte de 2008 prévoit un mécanisme de communications devant le Comité, accessible aux particuliers, à des groupes particuliers (associations de défense) et aux </w:t>
      </w:r>
      <w:proofErr w:type="spellStart"/>
      <w:r w:rsidRPr="00643AA4">
        <w:rPr>
          <w:rFonts w:ascii="Arial" w:hAnsi="Arial" w:cs="Arial"/>
        </w:rPr>
        <w:t>Etats</w:t>
      </w:r>
      <w:proofErr w:type="spellEnd"/>
      <w:r w:rsidRPr="00643AA4">
        <w:rPr>
          <w:rFonts w:ascii="Arial" w:hAnsi="Arial" w:cs="Arial"/>
        </w:rPr>
        <w:t>.</w:t>
      </w: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lastRenderedPageBreak/>
        <w:t xml:space="preserve">D’autres comités jouent un rôle important : on pensera ici notamment </w:t>
      </w:r>
      <w:r w:rsidR="00643AA4">
        <w:rPr>
          <w:rFonts w:ascii="Arial" w:hAnsi="Arial" w:cs="Arial"/>
        </w:rPr>
        <w:t xml:space="preserve">aux rapports notamment du </w:t>
      </w:r>
    </w:p>
    <w:p w:rsidR="00C42DFB" w:rsidRPr="00643AA4" w:rsidRDefault="00C42DFB" w:rsidP="00643AA4">
      <w:pPr>
        <w:pStyle w:val="Paragraphedeliste"/>
        <w:numPr>
          <w:ilvl w:val="0"/>
          <w:numId w:val="29"/>
        </w:numPr>
        <w:spacing w:after="0" w:line="259" w:lineRule="auto"/>
        <w:jc w:val="both"/>
        <w:rPr>
          <w:rFonts w:ascii="Arial" w:hAnsi="Arial" w:cs="Arial"/>
        </w:rPr>
      </w:pPr>
      <w:r w:rsidRPr="00643AA4">
        <w:rPr>
          <w:rFonts w:ascii="Arial" w:hAnsi="Arial" w:cs="Arial"/>
          <w:b/>
          <w:bCs/>
        </w:rPr>
        <w:t>Comité international sur l’élimination de toutes les formes de discrimination raciale</w:t>
      </w:r>
      <w:r w:rsidRPr="00643AA4">
        <w:rPr>
          <w:rFonts w:ascii="Arial" w:hAnsi="Arial" w:cs="Arial"/>
        </w:rPr>
        <w:t xml:space="preserve"> </w:t>
      </w:r>
    </w:p>
    <w:p w:rsidR="00C42DFB" w:rsidRPr="00643AA4" w:rsidRDefault="00643AA4" w:rsidP="00643AA4">
      <w:pPr>
        <w:pStyle w:val="Paragraphedeliste"/>
        <w:numPr>
          <w:ilvl w:val="0"/>
          <w:numId w:val="29"/>
        </w:numPr>
        <w:spacing w:after="0" w:line="259" w:lineRule="auto"/>
        <w:jc w:val="both"/>
        <w:rPr>
          <w:rFonts w:ascii="Arial" w:hAnsi="Arial" w:cs="Arial"/>
        </w:rPr>
      </w:pPr>
      <w:r w:rsidRPr="00643AA4">
        <w:rPr>
          <w:rFonts w:ascii="Arial" w:hAnsi="Arial" w:cs="Arial"/>
          <w:b/>
          <w:bCs/>
        </w:rPr>
        <w:t>C</w:t>
      </w:r>
      <w:r w:rsidR="00C42DFB" w:rsidRPr="00643AA4">
        <w:rPr>
          <w:rFonts w:ascii="Arial" w:hAnsi="Arial" w:cs="Arial"/>
          <w:b/>
          <w:bCs/>
        </w:rPr>
        <w:t>omité sur l’élimination de toutes les formes de discrimination à l’égard des femmes</w:t>
      </w:r>
      <w:r w:rsidR="00C42DFB" w:rsidRPr="00643AA4">
        <w:rPr>
          <w:rFonts w:ascii="Arial" w:hAnsi="Arial" w:cs="Arial"/>
        </w:rPr>
        <w:t xml:space="preserve"> </w:t>
      </w:r>
    </w:p>
    <w:p w:rsidR="00643AA4" w:rsidRDefault="00643AA4" w:rsidP="00643AA4">
      <w:pPr>
        <w:pStyle w:val="Paragraphedeliste"/>
        <w:numPr>
          <w:ilvl w:val="0"/>
          <w:numId w:val="29"/>
        </w:numPr>
        <w:spacing w:after="0" w:line="259" w:lineRule="auto"/>
        <w:jc w:val="both"/>
        <w:rPr>
          <w:rFonts w:ascii="Arial" w:hAnsi="Arial" w:cs="Arial"/>
        </w:rPr>
      </w:pPr>
      <w:r w:rsidRPr="00643AA4">
        <w:rPr>
          <w:rFonts w:ascii="Arial" w:hAnsi="Arial" w:cs="Arial"/>
        </w:rPr>
        <w:t>C</w:t>
      </w:r>
      <w:r w:rsidR="00C42DFB" w:rsidRPr="00643AA4">
        <w:rPr>
          <w:rFonts w:ascii="Arial" w:hAnsi="Arial" w:cs="Arial"/>
        </w:rPr>
        <w:t xml:space="preserve">omité sur des droits de l’enfant </w:t>
      </w:r>
    </w:p>
    <w:p w:rsidR="00C42DFB" w:rsidRPr="00643AA4" w:rsidRDefault="00643AA4" w:rsidP="00643AA4">
      <w:pPr>
        <w:pStyle w:val="Paragraphedeliste"/>
        <w:numPr>
          <w:ilvl w:val="0"/>
          <w:numId w:val="29"/>
        </w:numPr>
        <w:spacing w:after="0" w:line="259" w:lineRule="auto"/>
        <w:jc w:val="both"/>
        <w:rPr>
          <w:rFonts w:ascii="Arial" w:hAnsi="Arial" w:cs="Arial"/>
        </w:rPr>
      </w:pPr>
      <w:r w:rsidRPr="00643AA4">
        <w:rPr>
          <w:rFonts w:ascii="Arial" w:hAnsi="Arial" w:cs="Arial"/>
        </w:rPr>
        <w:t>C</w:t>
      </w:r>
      <w:r w:rsidR="00C42DFB" w:rsidRPr="00643AA4">
        <w:rPr>
          <w:rFonts w:ascii="Arial" w:hAnsi="Arial" w:cs="Arial"/>
        </w:rPr>
        <w:t>omité pour la protection des droits de tous les travailleurs migrants et des membres de leur famille (rapports et communications interétatiques)</w:t>
      </w:r>
    </w:p>
    <w:p w:rsidR="00C42DFB" w:rsidRPr="00643AA4" w:rsidRDefault="00643AA4" w:rsidP="00643AA4">
      <w:pPr>
        <w:pStyle w:val="Paragraphedeliste"/>
        <w:numPr>
          <w:ilvl w:val="0"/>
          <w:numId w:val="29"/>
        </w:numPr>
        <w:spacing w:after="0" w:line="259" w:lineRule="auto"/>
        <w:jc w:val="both"/>
        <w:rPr>
          <w:rFonts w:ascii="Arial" w:hAnsi="Arial" w:cs="Arial"/>
        </w:rPr>
      </w:pPr>
      <w:r>
        <w:rPr>
          <w:rFonts w:ascii="Arial" w:hAnsi="Arial" w:cs="Arial"/>
        </w:rPr>
        <w:t>C</w:t>
      </w:r>
      <w:r w:rsidR="00C42DFB" w:rsidRPr="00643AA4">
        <w:rPr>
          <w:rFonts w:ascii="Arial" w:hAnsi="Arial" w:cs="Arial"/>
        </w:rPr>
        <w:t xml:space="preserve">omité des droits des personnes handicapées (rapports) </w:t>
      </w:r>
    </w:p>
    <w:p w:rsidR="00643AA4" w:rsidRDefault="00643AA4" w:rsidP="00643AA4">
      <w:pPr>
        <w:spacing w:after="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On retiendra également l’importance du rapporteur spécial sur le droit à la santé, désigné pour la première fois en 2002 par la Commission des droits de l’homme. Ainsi, la Résolution 2002/31 vise différents objectifs, dont notamment</w:t>
      </w:r>
    </w:p>
    <w:p w:rsidR="00C42DFB" w:rsidRPr="00643AA4" w:rsidRDefault="00C42DFB" w:rsidP="00643AA4">
      <w:pPr>
        <w:pStyle w:val="Paragraphedeliste"/>
        <w:numPr>
          <w:ilvl w:val="0"/>
          <w:numId w:val="30"/>
        </w:numPr>
        <w:spacing w:after="0" w:line="259" w:lineRule="auto"/>
        <w:jc w:val="both"/>
        <w:rPr>
          <w:rFonts w:ascii="Arial" w:hAnsi="Arial" w:cs="Arial"/>
        </w:rPr>
      </w:pPr>
      <w:r w:rsidRPr="00643AA4">
        <w:rPr>
          <w:rFonts w:ascii="Arial" w:hAnsi="Arial" w:cs="Arial"/>
        </w:rPr>
        <w:t xml:space="preserve">recevoir, rassembler, solliciter, échanger des renseignements émanant de toutes les sources pertinentes, y compris des gouvernements (…) et des organisations non gouvernementales sur l’exercice du droit de toute personne de jouir du meilleur état possible de santé physique et mentale </w:t>
      </w:r>
    </w:p>
    <w:p w:rsidR="00C42DFB" w:rsidRDefault="00C42DFB" w:rsidP="00643AA4">
      <w:pPr>
        <w:pStyle w:val="Paragraphedeliste"/>
        <w:numPr>
          <w:ilvl w:val="0"/>
          <w:numId w:val="30"/>
        </w:numPr>
        <w:spacing w:after="0" w:line="259" w:lineRule="auto"/>
        <w:jc w:val="both"/>
        <w:rPr>
          <w:rFonts w:ascii="Arial" w:hAnsi="Arial" w:cs="Arial"/>
        </w:rPr>
      </w:pPr>
      <w:r w:rsidRPr="00643AA4">
        <w:rPr>
          <w:rFonts w:ascii="Arial" w:hAnsi="Arial" w:cs="Arial"/>
        </w:rPr>
        <w:t xml:space="preserve">recommander des mesures propres à promouvoir et à protéger l’exercice du droit de chacun de jouir du meilleur état possible de santé, en vue de soutenir les </w:t>
      </w:r>
      <w:proofErr w:type="spellStart"/>
      <w:r w:rsidRPr="00643AA4">
        <w:rPr>
          <w:rFonts w:ascii="Arial" w:hAnsi="Arial" w:cs="Arial"/>
        </w:rPr>
        <w:t>Etats</w:t>
      </w:r>
      <w:proofErr w:type="spellEnd"/>
      <w:r w:rsidRPr="00643AA4">
        <w:rPr>
          <w:rFonts w:ascii="Arial" w:hAnsi="Arial" w:cs="Arial"/>
        </w:rPr>
        <w:t xml:space="preserve"> dans leurs efforts pour améliorer la santé publique. </w:t>
      </w:r>
    </w:p>
    <w:p w:rsidR="00643AA4" w:rsidRPr="00643AA4" w:rsidRDefault="00643AA4" w:rsidP="00643AA4">
      <w:pPr>
        <w:spacing w:after="0" w:line="259" w:lineRule="auto"/>
        <w:ind w:left="36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 xml:space="preserve">L’OMS prévoit finalement l’envoi de rapports annuels par les </w:t>
      </w:r>
      <w:proofErr w:type="spellStart"/>
      <w:r w:rsidRPr="00643AA4">
        <w:rPr>
          <w:rFonts w:ascii="Arial" w:hAnsi="Arial" w:cs="Arial"/>
        </w:rPr>
        <w:t>Etats</w:t>
      </w:r>
      <w:proofErr w:type="spellEnd"/>
      <w:r w:rsidRPr="00643AA4">
        <w:rPr>
          <w:rFonts w:ascii="Arial" w:hAnsi="Arial" w:cs="Arial"/>
        </w:rPr>
        <w:t xml:space="preserve"> membres, portant sur </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les mesures de santé prises pour assurer un certain niveau de santé pour la population</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 xml:space="preserve">les mesures adoptées pour mettre en œuvre les recommandations de l’OMS notamment. </w:t>
      </w: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rPr>
      </w:pPr>
      <w:r w:rsidRPr="00643AA4">
        <w:rPr>
          <w:rFonts w:ascii="Arial" w:hAnsi="Arial" w:cs="Arial"/>
        </w:rPr>
        <w:t xml:space="preserve">Pour « observer », finalement, on retiendra la jurisprudence rendue par les différentes instances que sont </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la Cour EDH</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la Commission interaméricaine des droits de l’homme et la Cour interaméricaine des droits de l’homme</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le Comité arabe des droits de l’homme</w:t>
      </w:r>
    </w:p>
    <w:p w:rsidR="00C42DFB" w:rsidRPr="00643AA4" w:rsidRDefault="00C42DFB" w:rsidP="00643AA4">
      <w:pPr>
        <w:pStyle w:val="Paragraphedeliste"/>
        <w:numPr>
          <w:ilvl w:val="0"/>
          <w:numId w:val="28"/>
        </w:numPr>
        <w:spacing w:after="0" w:line="259" w:lineRule="auto"/>
        <w:jc w:val="both"/>
        <w:rPr>
          <w:rFonts w:ascii="Arial" w:hAnsi="Arial" w:cs="Arial"/>
        </w:rPr>
      </w:pPr>
      <w:r w:rsidRPr="00643AA4">
        <w:rPr>
          <w:rFonts w:ascii="Arial" w:hAnsi="Arial" w:cs="Arial"/>
        </w:rPr>
        <w:t>la Commission africaine des droits de l’homme et la Cour africaine des droits de l’homme et des peuples</w:t>
      </w: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rPr>
      </w:pPr>
    </w:p>
    <w:p w:rsidR="00C42DFB" w:rsidRPr="00643AA4" w:rsidRDefault="00C42DFB" w:rsidP="00643AA4">
      <w:pPr>
        <w:spacing w:after="0"/>
        <w:jc w:val="both"/>
        <w:rPr>
          <w:rFonts w:ascii="Arial" w:hAnsi="Arial" w:cs="Arial"/>
          <w:b/>
        </w:rPr>
      </w:pPr>
    </w:p>
    <w:p w:rsidR="00C42DFB" w:rsidRPr="00643AA4" w:rsidRDefault="00C42DFB" w:rsidP="00643AA4">
      <w:pPr>
        <w:spacing w:after="0"/>
        <w:jc w:val="both"/>
        <w:rPr>
          <w:rFonts w:ascii="Arial" w:hAnsi="Arial" w:cs="Arial"/>
        </w:rPr>
      </w:pPr>
    </w:p>
    <w:sectPr w:rsidR="00C42DFB" w:rsidRPr="00643AA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917" w:rsidRDefault="00786917" w:rsidP="00412F51">
      <w:pPr>
        <w:spacing w:after="0" w:line="240" w:lineRule="auto"/>
      </w:pPr>
      <w:r>
        <w:separator/>
      </w:r>
    </w:p>
  </w:endnote>
  <w:endnote w:type="continuationSeparator" w:id="0">
    <w:p w:rsidR="00786917" w:rsidRDefault="00786917" w:rsidP="0041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917" w:rsidRDefault="00786917" w:rsidP="00412F51">
      <w:pPr>
        <w:spacing w:after="0" w:line="240" w:lineRule="auto"/>
      </w:pPr>
      <w:r>
        <w:separator/>
      </w:r>
    </w:p>
  </w:footnote>
  <w:footnote w:type="continuationSeparator" w:id="0">
    <w:p w:rsidR="00786917" w:rsidRDefault="00786917" w:rsidP="0041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584" w:rsidRPr="00506BB0" w:rsidRDefault="00176584" w:rsidP="00176584">
    <w:pPr>
      <w:pStyle w:val="En-tte"/>
      <w:ind w:left="4820"/>
      <w:jc w:val="right"/>
      <w:rPr>
        <w:szCs w:val="20"/>
      </w:rPr>
    </w:pPr>
    <w:r w:rsidRPr="00506BB0">
      <w:rPr>
        <w:szCs w:val="20"/>
      </w:rPr>
      <w:t>CAS droit des patients et santé publi</w:t>
    </w:r>
    <w:r>
      <w:rPr>
        <w:szCs w:val="20"/>
      </w:rPr>
      <w:t>que</w:t>
    </w:r>
    <w:r w:rsidRPr="00506BB0">
      <w:rPr>
        <w:szCs w:val="20"/>
      </w:rPr>
      <w:t xml:space="preserve"> </w:t>
    </w:r>
  </w:p>
  <w:p w:rsidR="00176584" w:rsidRPr="00506BB0" w:rsidRDefault="00176584" w:rsidP="00176584">
    <w:pPr>
      <w:pStyle w:val="En-tte"/>
      <w:ind w:left="5664"/>
      <w:jc w:val="right"/>
      <w:rPr>
        <w:szCs w:val="20"/>
      </w:rPr>
    </w:pPr>
    <w:r w:rsidRPr="00506BB0">
      <w:rPr>
        <w:szCs w:val="20"/>
      </w:rPr>
      <w:t xml:space="preserve">Oral no 1 </w:t>
    </w:r>
  </w:p>
  <w:p w:rsidR="00176584" w:rsidRDefault="001765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A51"/>
    <w:multiLevelType w:val="hybridMultilevel"/>
    <w:tmpl w:val="97A291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09F5773"/>
    <w:multiLevelType w:val="hybridMultilevel"/>
    <w:tmpl w:val="5FB4DE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2335729"/>
    <w:multiLevelType w:val="hybridMultilevel"/>
    <w:tmpl w:val="420EA042"/>
    <w:lvl w:ilvl="0" w:tplc="C4C2F0E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1727E6"/>
    <w:multiLevelType w:val="hybridMultilevel"/>
    <w:tmpl w:val="DD907DB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22EA237C"/>
    <w:multiLevelType w:val="hybridMultilevel"/>
    <w:tmpl w:val="FE90782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67919F8"/>
    <w:multiLevelType w:val="hybridMultilevel"/>
    <w:tmpl w:val="1DCA27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742D00"/>
    <w:multiLevelType w:val="hybridMultilevel"/>
    <w:tmpl w:val="AA5E6742"/>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 w15:restartNumberingAfterBreak="0">
    <w:nsid w:val="2CCE1094"/>
    <w:multiLevelType w:val="hybridMultilevel"/>
    <w:tmpl w:val="6CC0A0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1C0E63"/>
    <w:multiLevelType w:val="hybridMultilevel"/>
    <w:tmpl w:val="5BFE7F4A"/>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9" w15:restartNumberingAfterBreak="0">
    <w:nsid w:val="31CF7E82"/>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0" w15:restartNumberingAfterBreak="0">
    <w:nsid w:val="353B5285"/>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1" w15:restartNumberingAfterBreak="0">
    <w:nsid w:val="3D87234E"/>
    <w:multiLevelType w:val="hybridMultilevel"/>
    <w:tmpl w:val="538A6E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1B6265C"/>
    <w:multiLevelType w:val="hybridMultilevel"/>
    <w:tmpl w:val="9536CF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23823EA"/>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4" w15:restartNumberingAfterBreak="0">
    <w:nsid w:val="446939D9"/>
    <w:multiLevelType w:val="hybridMultilevel"/>
    <w:tmpl w:val="FAA4F08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5726474"/>
    <w:multiLevelType w:val="hybridMultilevel"/>
    <w:tmpl w:val="A30692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8F51830"/>
    <w:multiLevelType w:val="hybridMultilevel"/>
    <w:tmpl w:val="519AF49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B1F2272"/>
    <w:multiLevelType w:val="hybridMultilevel"/>
    <w:tmpl w:val="513A7334"/>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8" w15:restartNumberingAfterBreak="0">
    <w:nsid w:val="4C692D7A"/>
    <w:multiLevelType w:val="hybridMultilevel"/>
    <w:tmpl w:val="D30605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210684C"/>
    <w:multiLevelType w:val="hybridMultilevel"/>
    <w:tmpl w:val="E4DED66E"/>
    <w:lvl w:ilvl="0" w:tplc="100C0001">
      <w:start w:val="1"/>
      <w:numFmt w:val="bullet"/>
      <w:lvlText w:val=""/>
      <w:lvlJc w:val="left"/>
      <w:pPr>
        <w:ind w:left="720" w:hanging="360"/>
      </w:pPr>
      <w:rPr>
        <w:rFonts w:ascii="Symbol" w:hAnsi="Symbol" w:hint="default"/>
      </w:rPr>
    </w:lvl>
    <w:lvl w:ilvl="1" w:tplc="100C000F">
      <w:start w:val="1"/>
      <w:numFmt w:val="decimal"/>
      <w:lvlText w:val="%2."/>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7582235"/>
    <w:multiLevelType w:val="hybridMultilevel"/>
    <w:tmpl w:val="DAB4C81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81D1439"/>
    <w:multiLevelType w:val="hybridMultilevel"/>
    <w:tmpl w:val="2B2485EC"/>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859063B"/>
    <w:multiLevelType w:val="hybridMultilevel"/>
    <w:tmpl w:val="107A5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F3F4BE8"/>
    <w:multiLevelType w:val="hybridMultilevel"/>
    <w:tmpl w:val="862AA264"/>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0100CB7"/>
    <w:multiLevelType w:val="hybridMultilevel"/>
    <w:tmpl w:val="20F82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BA1DA5"/>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6" w15:restartNumberingAfterBreak="0">
    <w:nsid w:val="6CAB3B38"/>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7" w15:restartNumberingAfterBreak="0">
    <w:nsid w:val="759D62EC"/>
    <w:multiLevelType w:val="hybridMultilevel"/>
    <w:tmpl w:val="A52ADEE4"/>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15:restartNumberingAfterBreak="0">
    <w:nsid w:val="7C9951B6"/>
    <w:multiLevelType w:val="hybridMultilevel"/>
    <w:tmpl w:val="D5A6ED3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9" w15:restartNumberingAfterBreak="0">
    <w:nsid w:val="7E391A2F"/>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22"/>
  </w:num>
  <w:num w:numId="2">
    <w:abstractNumId w:val="8"/>
  </w:num>
  <w:num w:numId="3">
    <w:abstractNumId w:val="23"/>
  </w:num>
  <w:num w:numId="4">
    <w:abstractNumId w:val="1"/>
  </w:num>
  <w:num w:numId="5">
    <w:abstractNumId w:val="11"/>
  </w:num>
  <w:num w:numId="6">
    <w:abstractNumId w:val="27"/>
  </w:num>
  <w:num w:numId="7">
    <w:abstractNumId w:val="17"/>
  </w:num>
  <w:num w:numId="8">
    <w:abstractNumId w:val="29"/>
  </w:num>
  <w:num w:numId="9">
    <w:abstractNumId w:val="9"/>
  </w:num>
  <w:num w:numId="10">
    <w:abstractNumId w:val="6"/>
  </w:num>
  <w:num w:numId="11">
    <w:abstractNumId w:val="13"/>
  </w:num>
  <w:num w:numId="12">
    <w:abstractNumId w:val="25"/>
  </w:num>
  <w:num w:numId="13">
    <w:abstractNumId w:val="26"/>
  </w:num>
  <w:num w:numId="14">
    <w:abstractNumId w:val="10"/>
  </w:num>
  <w:num w:numId="15">
    <w:abstractNumId w:val="4"/>
  </w:num>
  <w:num w:numId="16">
    <w:abstractNumId w:val="0"/>
  </w:num>
  <w:num w:numId="17">
    <w:abstractNumId w:val="21"/>
  </w:num>
  <w:num w:numId="18">
    <w:abstractNumId w:val="3"/>
  </w:num>
  <w:num w:numId="19">
    <w:abstractNumId w:val="28"/>
  </w:num>
  <w:num w:numId="20">
    <w:abstractNumId w:val="14"/>
  </w:num>
  <w:num w:numId="21">
    <w:abstractNumId w:val="19"/>
  </w:num>
  <w:num w:numId="22">
    <w:abstractNumId w:val="18"/>
  </w:num>
  <w:num w:numId="23">
    <w:abstractNumId w:val="12"/>
  </w:num>
  <w:num w:numId="24">
    <w:abstractNumId w:val="7"/>
  </w:num>
  <w:num w:numId="25">
    <w:abstractNumId w:val="20"/>
  </w:num>
  <w:num w:numId="26">
    <w:abstractNumId w:val="16"/>
  </w:num>
  <w:num w:numId="27">
    <w:abstractNumId w:val="5"/>
  </w:num>
  <w:num w:numId="28">
    <w:abstractNumId w:val="2"/>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B3"/>
    <w:rsid w:val="00042489"/>
    <w:rsid w:val="00073678"/>
    <w:rsid w:val="000D603A"/>
    <w:rsid w:val="000E2FBE"/>
    <w:rsid w:val="0011362F"/>
    <w:rsid w:val="001155B1"/>
    <w:rsid w:val="00115B26"/>
    <w:rsid w:val="00116E3A"/>
    <w:rsid w:val="001445B0"/>
    <w:rsid w:val="0016595D"/>
    <w:rsid w:val="00176584"/>
    <w:rsid w:val="001E7A94"/>
    <w:rsid w:val="001F611B"/>
    <w:rsid w:val="00227759"/>
    <w:rsid w:val="0030477F"/>
    <w:rsid w:val="003972D1"/>
    <w:rsid w:val="00412F51"/>
    <w:rsid w:val="00442E53"/>
    <w:rsid w:val="00455A27"/>
    <w:rsid w:val="004761FA"/>
    <w:rsid w:val="004E209D"/>
    <w:rsid w:val="00643AA4"/>
    <w:rsid w:val="006C6D5E"/>
    <w:rsid w:val="006D2459"/>
    <w:rsid w:val="007124DE"/>
    <w:rsid w:val="0071469D"/>
    <w:rsid w:val="00740F85"/>
    <w:rsid w:val="00786917"/>
    <w:rsid w:val="007E7823"/>
    <w:rsid w:val="0086270F"/>
    <w:rsid w:val="008B79BE"/>
    <w:rsid w:val="008F7BBF"/>
    <w:rsid w:val="009139BB"/>
    <w:rsid w:val="009208CC"/>
    <w:rsid w:val="00926233"/>
    <w:rsid w:val="00936A91"/>
    <w:rsid w:val="009434B3"/>
    <w:rsid w:val="009D15F0"/>
    <w:rsid w:val="009F4089"/>
    <w:rsid w:val="00A269C9"/>
    <w:rsid w:val="00A44C12"/>
    <w:rsid w:val="00A55A98"/>
    <w:rsid w:val="00A61BAB"/>
    <w:rsid w:val="00A76FEE"/>
    <w:rsid w:val="00AB2110"/>
    <w:rsid w:val="00AE3779"/>
    <w:rsid w:val="00B371E6"/>
    <w:rsid w:val="00B65F16"/>
    <w:rsid w:val="00B832A7"/>
    <w:rsid w:val="00B950E5"/>
    <w:rsid w:val="00BF7D92"/>
    <w:rsid w:val="00C32C89"/>
    <w:rsid w:val="00C42DFB"/>
    <w:rsid w:val="00C54A29"/>
    <w:rsid w:val="00CA0D17"/>
    <w:rsid w:val="00CB4B5F"/>
    <w:rsid w:val="00D03DF3"/>
    <w:rsid w:val="00D213EE"/>
    <w:rsid w:val="00D71B0D"/>
    <w:rsid w:val="00D83345"/>
    <w:rsid w:val="00DA6E15"/>
    <w:rsid w:val="00DB3534"/>
    <w:rsid w:val="00DC40ED"/>
    <w:rsid w:val="00F73E60"/>
    <w:rsid w:val="00FE63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7F1A"/>
  <w15:docId w15:val="{2AC75B14-A420-AC41-ADA3-92D4368A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434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269C9"/>
    <w:pPr>
      <w:ind w:left="720"/>
      <w:contextualSpacing/>
    </w:pPr>
  </w:style>
  <w:style w:type="paragraph" w:styleId="Notedebasdepage">
    <w:name w:val="footnote text"/>
    <w:basedOn w:val="Normal"/>
    <w:link w:val="NotedebasdepageCar"/>
    <w:uiPriority w:val="99"/>
    <w:semiHidden/>
    <w:unhideWhenUsed/>
    <w:rsid w:val="00412F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2F51"/>
    <w:rPr>
      <w:sz w:val="20"/>
      <w:szCs w:val="20"/>
    </w:rPr>
  </w:style>
  <w:style w:type="character" w:styleId="Appelnotedebasdep">
    <w:name w:val="footnote reference"/>
    <w:basedOn w:val="Policepardfaut"/>
    <w:uiPriority w:val="99"/>
    <w:semiHidden/>
    <w:unhideWhenUsed/>
    <w:rsid w:val="00412F51"/>
    <w:rPr>
      <w:vertAlign w:val="superscript"/>
    </w:rPr>
  </w:style>
  <w:style w:type="character" w:styleId="Lienhypertexte">
    <w:name w:val="Hyperlink"/>
    <w:basedOn w:val="Policepardfaut"/>
    <w:uiPriority w:val="99"/>
    <w:unhideWhenUsed/>
    <w:rsid w:val="00412F51"/>
    <w:rPr>
      <w:color w:val="0000FF" w:themeColor="hyperlink"/>
      <w:u w:val="single"/>
    </w:rPr>
  </w:style>
  <w:style w:type="paragraph" w:styleId="En-tte">
    <w:name w:val="header"/>
    <w:basedOn w:val="Normal"/>
    <w:link w:val="En-tteCar"/>
    <w:uiPriority w:val="99"/>
    <w:unhideWhenUsed/>
    <w:rsid w:val="00176584"/>
    <w:pPr>
      <w:tabs>
        <w:tab w:val="center" w:pos="4536"/>
        <w:tab w:val="right" w:pos="9072"/>
      </w:tabs>
      <w:spacing w:after="0" w:line="240" w:lineRule="auto"/>
    </w:pPr>
  </w:style>
  <w:style w:type="character" w:customStyle="1" w:styleId="En-tteCar">
    <w:name w:val="En-tête Car"/>
    <w:basedOn w:val="Policepardfaut"/>
    <w:link w:val="En-tte"/>
    <w:uiPriority w:val="99"/>
    <w:rsid w:val="00176584"/>
  </w:style>
  <w:style w:type="paragraph" w:styleId="Pieddepage">
    <w:name w:val="footer"/>
    <w:basedOn w:val="Normal"/>
    <w:link w:val="PieddepageCar"/>
    <w:uiPriority w:val="99"/>
    <w:unhideWhenUsed/>
    <w:rsid w:val="001765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5D15808-A6E0-6B44-B459-0432322CFABB}">
  <ds:schemaRefs>
    <ds:schemaRef ds:uri="http://schemas.openxmlformats.org/officeDocument/2006/bibliography"/>
  </ds:schemaRefs>
</ds:datastoreItem>
</file>

<file path=customXml/itemProps2.xml><?xml version="1.0" encoding="utf-8"?>
<ds:datastoreItem xmlns:ds="http://schemas.openxmlformats.org/officeDocument/2006/customXml" ds:itemID="{65104F11-17D1-40FD-8E43-728336E431D0}"/>
</file>

<file path=customXml/itemProps3.xml><?xml version="1.0" encoding="utf-8"?>
<ds:datastoreItem xmlns:ds="http://schemas.openxmlformats.org/officeDocument/2006/customXml" ds:itemID="{686DA7BF-294E-4D20-8045-56F1064EBD4F}"/>
</file>

<file path=customXml/itemProps4.xml><?xml version="1.0" encoding="utf-8"?>
<ds:datastoreItem xmlns:ds="http://schemas.openxmlformats.org/officeDocument/2006/customXml" ds:itemID="{63DE97A5-A5CF-4710-8942-E371B0ECCB04}"/>
</file>

<file path=docProps/app.xml><?xml version="1.0" encoding="utf-8"?>
<Properties xmlns="http://schemas.openxmlformats.org/officeDocument/2006/extended-properties" xmlns:vt="http://schemas.openxmlformats.org/officeDocument/2006/docPropsVTypes">
  <Template>Normal.dotm</Template>
  <TotalTime>36</TotalTime>
  <Pages>3</Pages>
  <Words>1107</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Zeller-Ramseyer Christine</dc:creator>
  <cp:lastModifiedBy>Haunreiter Katja</cp:lastModifiedBy>
  <cp:revision>12</cp:revision>
  <dcterms:created xsi:type="dcterms:W3CDTF">2020-12-30T22:15:00Z</dcterms:created>
  <dcterms:modified xsi:type="dcterms:W3CDTF">2021-01-07T16:57:00Z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