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6584" w:rsidRPr="00FF31EB" w:rsidRDefault="00176584" w:rsidP="00DE483C">
      <w:pPr>
        <w:jc w:val="both"/>
        <w:rPr>
          <w:rFonts w:ascii="Arial" w:hAnsi="Arial" w:cs="Arial"/>
          <w:sz w:val="22"/>
          <w:szCs w:val="22"/>
        </w:rPr>
      </w:pPr>
      <w:r w:rsidRPr="00FF31EB">
        <w:rPr>
          <w:rFonts w:ascii="Arial" w:hAnsi="Arial" w:cs="Arial"/>
          <w:b/>
          <w:bCs/>
          <w:caps/>
          <w:sz w:val="22"/>
          <w:szCs w:val="22"/>
        </w:rPr>
        <w:t>droit à la santé et handicap</w:t>
      </w:r>
      <w:r w:rsidR="003C49BE" w:rsidRPr="00FF31EB">
        <w:rPr>
          <w:rFonts w:ascii="Arial" w:hAnsi="Arial" w:cs="Arial"/>
          <w:b/>
          <w:bCs/>
          <w:caps/>
          <w:sz w:val="22"/>
          <w:szCs w:val="22"/>
        </w:rPr>
        <w:t xml:space="preserve"> (généralités)</w:t>
      </w:r>
    </w:p>
    <w:p w:rsidR="00176584" w:rsidRPr="00FF31EB" w:rsidRDefault="00176584" w:rsidP="00DE483C">
      <w:pPr>
        <w:pBdr>
          <w:bottom w:val="single" w:sz="12" w:space="1" w:color="auto"/>
        </w:pBdr>
        <w:jc w:val="both"/>
        <w:rPr>
          <w:rFonts w:ascii="Arial" w:hAnsi="Arial" w:cs="Arial"/>
          <w:b/>
          <w:bCs/>
          <w:smallCaps/>
          <w:sz w:val="22"/>
          <w:szCs w:val="22"/>
        </w:rPr>
      </w:pPr>
    </w:p>
    <w:p w:rsidR="003C49BE" w:rsidRPr="00FF31EB" w:rsidRDefault="003C49BE" w:rsidP="00DE483C">
      <w:pPr>
        <w:pBdr>
          <w:bottom w:val="single" w:sz="12" w:space="1" w:color="auto"/>
        </w:pBdr>
        <w:jc w:val="both"/>
        <w:rPr>
          <w:rFonts w:ascii="Arial" w:hAnsi="Arial" w:cs="Arial"/>
          <w:b/>
          <w:bCs/>
          <w:smallCaps/>
          <w:sz w:val="22"/>
          <w:szCs w:val="22"/>
        </w:rPr>
      </w:pPr>
      <w:r w:rsidRPr="00FF31EB">
        <w:rPr>
          <w:rFonts w:ascii="Arial" w:hAnsi="Arial" w:cs="Arial"/>
          <w:b/>
          <w:bCs/>
          <w:smallCaps/>
          <w:sz w:val="22"/>
          <w:szCs w:val="22"/>
        </w:rPr>
        <w:t xml:space="preserve">La CDPH (convention relative aux droits des personnes handicapées) est un instrument récent en Suisse : quelle est son importance, son contenu, sa relation avec le droit suisse ? </w:t>
      </w:r>
    </w:p>
    <w:p w:rsidR="009434B3" w:rsidRPr="00FF31EB" w:rsidRDefault="009434B3" w:rsidP="00DE483C">
      <w:pPr>
        <w:jc w:val="both"/>
        <w:rPr>
          <w:rFonts w:ascii="Arial" w:hAnsi="Arial" w:cs="Arial"/>
          <w:sz w:val="22"/>
          <w:szCs w:val="22"/>
        </w:rPr>
      </w:pPr>
    </w:p>
    <w:p w:rsidR="003C49BE" w:rsidRPr="00FF31EB" w:rsidRDefault="003C49BE" w:rsidP="00DE483C">
      <w:pPr>
        <w:jc w:val="both"/>
        <w:rPr>
          <w:rFonts w:ascii="Arial" w:hAnsi="Arial" w:cs="Arial"/>
          <w:sz w:val="22"/>
          <w:szCs w:val="22"/>
        </w:rPr>
      </w:pPr>
      <w:r w:rsidRPr="00FF31EB">
        <w:rPr>
          <w:rFonts w:ascii="Arial" w:hAnsi="Arial" w:cs="Arial"/>
          <w:sz w:val="22"/>
          <w:szCs w:val="22"/>
        </w:rPr>
        <w:t xml:space="preserve">La Convention de l’ONU relative aux droits des personnes handicapées (RS 0.109), conclue à New York en 2006 a été approuvée par l’Assemblée fédérale en 2014 et est entrée en vigueur le 15 mai 2014. </w:t>
      </w:r>
    </w:p>
    <w:p w:rsidR="003C49BE" w:rsidRPr="00FF31EB" w:rsidRDefault="003C49BE" w:rsidP="00DE483C">
      <w:pPr>
        <w:jc w:val="both"/>
        <w:rPr>
          <w:rFonts w:ascii="Arial" w:hAnsi="Arial" w:cs="Arial"/>
          <w:sz w:val="22"/>
          <w:szCs w:val="22"/>
        </w:rPr>
      </w:pPr>
    </w:p>
    <w:p w:rsidR="003C49BE" w:rsidRPr="00FF31EB" w:rsidRDefault="003C49BE" w:rsidP="00DE483C">
      <w:pPr>
        <w:jc w:val="both"/>
        <w:rPr>
          <w:rFonts w:ascii="Arial" w:hAnsi="Arial" w:cs="Arial"/>
          <w:sz w:val="22"/>
          <w:szCs w:val="22"/>
        </w:rPr>
      </w:pPr>
      <w:r w:rsidRPr="00FF31EB">
        <w:rPr>
          <w:rFonts w:ascii="Arial" w:hAnsi="Arial" w:cs="Arial"/>
          <w:sz w:val="22"/>
          <w:szCs w:val="22"/>
        </w:rPr>
        <w:t xml:space="preserve">Les Parties signataires </w:t>
      </w:r>
      <w:r w:rsidRPr="00FF31EB">
        <w:rPr>
          <w:rFonts w:ascii="Arial" w:hAnsi="Arial" w:cs="Arial"/>
          <w:sz w:val="22"/>
          <w:szCs w:val="22"/>
        </w:rPr>
        <w:t>reconnaiss</w:t>
      </w:r>
      <w:r w:rsidRPr="00FF31EB">
        <w:rPr>
          <w:rFonts w:ascii="Arial" w:hAnsi="Arial" w:cs="Arial"/>
          <w:sz w:val="22"/>
          <w:szCs w:val="22"/>
        </w:rPr>
        <w:t>ent</w:t>
      </w:r>
      <w:r w:rsidRPr="00FF31EB">
        <w:rPr>
          <w:rFonts w:ascii="Arial" w:hAnsi="Arial" w:cs="Arial"/>
          <w:sz w:val="22"/>
          <w:szCs w:val="22"/>
        </w:rPr>
        <w:t xml:space="preserve"> </w:t>
      </w:r>
      <w:r w:rsidRPr="00FF31EB">
        <w:rPr>
          <w:rFonts w:ascii="Arial" w:hAnsi="Arial" w:cs="Arial"/>
          <w:sz w:val="22"/>
          <w:szCs w:val="22"/>
        </w:rPr>
        <w:t xml:space="preserve">notamment </w:t>
      </w:r>
      <w:proofErr w:type="spellStart"/>
      <w:r w:rsidRPr="00FF31EB">
        <w:rPr>
          <w:rFonts w:ascii="Arial" w:hAnsi="Arial" w:cs="Arial"/>
          <w:sz w:val="22"/>
          <w:szCs w:val="22"/>
        </w:rPr>
        <w:t xml:space="preserve">que </w:t>
      </w:r>
      <w:proofErr w:type="spellEnd"/>
    </w:p>
    <w:p w:rsidR="006D78E4" w:rsidRPr="00FF31EB" w:rsidRDefault="003C49BE" w:rsidP="00DE483C">
      <w:pPr>
        <w:pStyle w:val="Paragraphedeliste"/>
        <w:numPr>
          <w:ilvl w:val="0"/>
          <w:numId w:val="26"/>
        </w:numPr>
        <w:spacing w:after="0" w:line="240" w:lineRule="auto"/>
        <w:jc w:val="both"/>
        <w:rPr>
          <w:rFonts w:ascii="Arial" w:eastAsia="Times New Roman" w:hAnsi="Arial" w:cs="Arial"/>
          <w:lang w:eastAsia="fr-FR"/>
        </w:rPr>
      </w:pPr>
      <w:r w:rsidRPr="00FF31EB">
        <w:rPr>
          <w:rFonts w:ascii="Arial" w:eastAsia="Times New Roman" w:hAnsi="Arial" w:cs="Arial"/>
          <w:lang w:eastAsia="fr-FR"/>
        </w:rPr>
        <w:t>toute discrimination fondée sur le handicap est une négation de la dignité et d</w:t>
      </w:r>
      <w:r w:rsidR="006D78E4" w:rsidRPr="00FF31EB">
        <w:rPr>
          <w:rFonts w:ascii="Arial" w:eastAsia="Times New Roman" w:hAnsi="Arial" w:cs="Arial"/>
          <w:lang w:eastAsia="fr-FR"/>
        </w:rPr>
        <w:t xml:space="preserve">e </w:t>
      </w:r>
      <w:r w:rsidRPr="00FF31EB">
        <w:rPr>
          <w:rFonts w:ascii="Arial" w:eastAsia="Times New Roman" w:hAnsi="Arial" w:cs="Arial"/>
          <w:lang w:eastAsia="fr-FR"/>
        </w:rPr>
        <w:t>la valeur inhérentes à la personne humain</w:t>
      </w:r>
      <w:r w:rsidRPr="00FF31EB">
        <w:rPr>
          <w:rFonts w:ascii="Arial" w:eastAsia="Times New Roman" w:hAnsi="Arial" w:cs="Arial"/>
          <w:lang w:eastAsia="fr-FR"/>
        </w:rPr>
        <w:t>e</w:t>
      </w:r>
    </w:p>
    <w:p w:rsidR="006D78E4" w:rsidRPr="00FF31EB" w:rsidRDefault="003C49BE" w:rsidP="00DE483C">
      <w:pPr>
        <w:pStyle w:val="Paragraphedeliste"/>
        <w:numPr>
          <w:ilvl w:val="0"/>
          <w:numId w:val="26"/>
        </w:numPr>
        <w:spacing w:after="0" w:line="240" w:lineRule="auto"/>
        <w:jc w:val="both"/>
        <w:rPr>
          <w:rFonts w:ascii="Arial" w:eastAsia="Times New Roman" w:hAnsi="Arial" w:cs="Arial"/>
          <w:lang w:eastAsia="fr-FR"/>
        </w:rPr>
      </w:pPr>
      <w:r w:rsidRPr="00FF31EB">
        <w:rPr>
          <w:rFonts w:ascii="Arial" w:eastAsia="Times New Roman" w:hAnsi="Arial" w:cs="Arial"/>
          <w:lang w:eastAsia="fr-FR"/>
        </w:rPr>
        <w:t xml:space="preserve">il existe une grande </w:t>
      </w:r>
      <w:r w:rsidRPr="00FF31EB">
        <w:rPr>
          <w:rFonts w:ascii="Arial" w:eastAsia="Times New Roman" w:hAnsi="Arial" w:cs="Arial"/>
          <w:lang w:eastAsia="fr-FR"/>
        </w:rPr>
        <w:t>diversité de personnes handicapées</w:t>
      </w:r>
    </w:p>
    <w:p w:rsidR="003C49BE" w:rsidRPr="00FF31EB" w:rsidRDefault="003C49BE" w:rsidP="00DE483C">
      <w:pPr>
        <w:pStyle w:val="Paragraphedeliste"/>
        <w:numPr>
          <w:ilvl w:val="0"/>
          <w:numId w:val="26"/>
        </w:numPr>
        <w:spacing w:after="0" w:line="240" w:lineRule="auto"/>
        <w:jc w:val="both"/>
        <w:rPr>
          <w:rFonts w:ascii="Arial" w:eastAsia="Times New Roman" w:hAnsi="Arial" w:cs="Arial"/>
          <w:lang w:eastAsia="fr-FR"/>
        </w:rPr>
      </w:pPr>
      <w:r w:rsidRPr="00FF31EB">
        <w:rPr>
          <w:rFonts w:ascii="Arial" w:eastAsia="Times New Roman" w:hAnsi="Arial" w:cs="Arial"/>
          <w:lang w:eastAsia="fr-FR"/>
        </w:rPr>
        <w:t>les enfants handicapés doivent jouir pleinement de tous les droits de l’homme et de toutes les libertés fondamentales, sur la base de l’égalité avec les autres enfants</w:t>
      </w:r>
    </w:p>
    <w:p w:rsidR="003C49BE" w:rsidRPr="00FF31EB" w:rsidRDefault="003C49BE" w:rsidP="00DE483C">
      <w:pPr>
        <w:jc w:val="both"/>
        <w:rPr>
          <w:rFonts w:ascii="Arial" w:hAnsi="Arial" w:cs="Arial"/>
          <w:sz w:val="22"/>
          <w:szCs w:val="22"/>
        </w:rPr>
      </w:pPr>
    </w:p>
    <w:p w:rsidR="00295E60" w:rsidRPr="00FF31EB" w:rsidRDefault="00CB480F" w:rsidP="00DE483C">
      <w:pPr>
        <w:jc w:val="both"/>
        <w:rPr>
          <w:rFonts w:ascii="Arial" w:hAnsi="Arial" w:cs="Arial"/>
          <w:sz w:val="22"/>
          <w:szCs w:val="22"/>
        </w:rPr>
      </w:pPr>
      <w:r w:rsidRPr="00FF31EB">
        <w:rPr>
          <w:rFonts w:ascii="Arial" w:hAnsi="Arial" w:cs="Arial"/>
          <w:sz w:val="22"/>
          <w:szCs w:val="22"/>
        </w:rPr>
        <w:t xml:space="preserve">Son but est de </w:t>
      </w:r>
    </w:p>
    <w:p w:rsidR="00295E60" w:rsidRPr="00FF31EB" w:rsidRDefault="00CB480F" w:rsidP="00DE483C">
      <w:pPr>
        <w:pStyle w:val="Paragraphedeliste"/>
        <w:numPr>
          <w:ilvl w:val="0"/>
          <w:numId w:val="25"/>
        </w:numPr>
        <w:spacing w:after="0" w:line="240" w:lineRule="auto"/>
        <w:jc w:val="both"/>
        <w:rPr>
          <w:rFonts w:ascii="Arial" w:eastAsia="Times New Roman" w:hAnsi="Arial" w:cs="Arial"/>
          <w:lang w:eastAsia="fr-FR"/>
        </w:rPr>
      </w:pPr>
      <w:r w:rsidRPr="00FF31EB">
        <w:rPr>
          <w:rFonts w:ascii="Arial" w:eastAsia="Times New Roman" w:hAnsi="Arial" w:cs="Arial"/>
          <w:b/>
          <w:bCs/>
          <w:lang w:eastAsia="fr-FR"/>
        </w:rPr>
        <w:t>promouvoir, protéger et assurer la pleine et égale jouissance de tous les droits de l’homme et de toutes les libertés fondamentales par les personnes handicapées</w:t>
      </w:r>
      <w:r w:rsidRPr="00FF31EB">
        <w:rPr>
          <w:rFonts w:ascii="Arial" w:eastAsia="Times New Roman" w:hAnsi="Arial" w:cs="Arial"/>
          <w:lang w:eastAsia="fr-FR"/>
        </w:rPr>
        <w:t xml:space="preserve"> et </w:t>
      </w:r>
    </w:p>
    <w:p w:rsidR="00295E60" w:rsidRPr="00FF31EB" w:rsidRDefault="00CB480F" w:rsidP="00DE483C">
      <w:pPr>
        <w:pStyle w:val="Paragraphedeliste"/>
        <w:numPr>
          <w:ilvl w:val="0"/>
          <w:numId w:val="25"/>
        </w:numPr>
        <w:spacing w:after="0" w:line="240" w:lineRule="auto"/>
        <w:jc w:val="both"/>
        <w:rPr>
          <w:rFonts w:ascii="Arial" w:eastAsia="Times New Roman" w:hAnsi="Arial" w:cs="Arial"/>
          <w:lang w:eastAsia="fr-FR"/>
        </w:rPr>
      </w:pPr>
      <w:r w:rsidRPr="00FF31EB">
        <w:rPr>
          <w:rFonts w:ascii="Arial" w:eastAsia="Times New Roman" w:hAnsi="Arial" w:cs="Arial"/>
          <w:lang w:eastAsia="fr-FR"/>
        </w:rPr>
        <w:t xml:space="preserve">promouvoir le </w:t>
      </w:r>
      <w:r w:rsidRPr="00FF31EB">
        <w:rPr>
          <w:rFonts w:ascii="Arial" w:eastAsia="Times New Roman" w:hAnsi="Arial" w:cs="Arial"/>
          <w:b/>
          <w:bCs/>
          <w:lang w:eastAsia="fr-FR"/>
        </w:rPr>
        <w:t>respect de leur dignité intrinsèque</w:t>
      </w:r>
      <w:r w:rsidRPr="00FF31EB">
        <w:rPr>
          <w:rFonts w:ascii="Arial" w:eastAsia="Times New Roman" w:hAnsi="Arial" w:cs="Arial"/>
          <w:lang w:eastAsia="fr-FR"/>
        </w:rPr>
        <w:t xml:space="preserve"> (art. 1 CDPH)</w:t>
      </w:r>
    </w:p>
    <w:p w:rsidR="00295E60" w:rsidRPr="00FF31EB" w:rsidRDefault="00295E60" w:rsidP="00DE483C">
      <w:pPr>
        <w:jc w:val="both"/>
        <w:rPr>
          <w:rFonts w:ascii="Arial" w:hAnsi="Arial" w:cs="Arial"/>
          <w:sz w:val="22"/>
          <w:szCs w:val="22"/>
        </w:rPr>
      </w:pPr>
    </w:p>
    <w:p w:rsidR="00CB480F" w:rsidRPr="00FF31EB" w:rsidRDefault="00295E60" w:rsidP="00DE483C">
      <w:pPr>
        <w:jc w:val="both"/>
        <w:rPr>
          <w:rFonts w:ascii="Arial" w:hAnsi="Arial" w:cs="Arial"/>
          <w:sz w:val="22"/>
          <w:szCs w:val="22"/>
        </w:rPr>
      </w:pPr>
      <w:r w:rsidRPr="00FF31EB">
        <w:rPr>
          <w:rFonts w:ascii="Arial" w:hAnsi="Arial" w:cs="Arial"/>
          <w:sz w:val="22"/>
          <w:szCs w:val="22"/>
        </w:rPr>
        <w:t>C</w:t>
      </w:r>
      <w:r w:rsidR="00CB480F" w:rsidRPr="00FF31EB">
        <w:rPr>
          <w:rFonts w:ascii="Arial" w:hAnsi="Arial" w:cs="Arial"/>
          <w:sz w:val="22"/>
          <w:szCs w:val="22"/>
        </w:rPr>
        <w:t>ette même disposition donnant une définition de la personne handicapée, à savoir « de</w:t>
      </w:r>
      <w:r w:rsidR="00CB480F" w:rsidRPr="00FF31EB">
        <w:rPr>
          <w:rFonts w:ascii="Arial" w:hAnsi="Arial" w:cs="Arial"/>
          <w:sz w:val="22"/>
          <w:szCs w:val="22"/>
        </w:rPr>
        <w:t>s personnes qui présentent des incapacités physiques, mentales, intellectuelles ou sensorielles durables dont l’interaction avec diverses barrières peut faire obstacle à leur pleine et effective participation à la société sur la base de l’égalité avec les autres.</w:t>
      </w:r>
    </w:p>
    <w:p w:rsidR="00295E60" w:rsidRPr="00FF31EB" w:rsidRDefault="00295E60" w:rsidP="00DE483C">
      <w:pPr>
        <w:jc w:val="both"/>
        <w:rPr>
          <w:rFonts w:ascii="Arial" w:hAnsi="Arial" w:cs="Arial"/>
          <w:sz w:val="22"/>
          <w:szCs w:val="22"/>
        </w:rPr>
      </w:pPr>
    </w:p>
    <w:p w:rsidR="00295E60" w:rsidRPr="00FF31EB" w:rsidRDefault="00295E60" w:rsidP="00DE483C">
      <w:pPr>
        <w:jc w:val="both"/>
        <w:rPr>
          <w:rFonts w:ascii="Arial" w:hAnsi="Arial" w:cs="Arial"/>
          <w:sz w:val="22"/>
          <w:szCs w:val="22"/>
        </w:rPr>
      </w:pPr>
      <w:r w:rsidRPr="00FF31EB">
        <w:rPr>
          <w:rFonts w:ascii="Arial" w:hAnsi="Arial" w:cs="Arial"/>
          <w:sz w:val="22"/>
          <w:szCs w:val="22"/>
        </w:rPr>
        <w:t xml:space="preserve">On notera que si cette définition est intéressante parce qu’elle </w:t>
      </w:r>
      <w:r w:rsidR="006D78E4" w:rsidRPr="00FF31EB">
        <w:rPr>
          <w:rFonts w:ascii="Arial" w:hAnsi="Arial" w:cs="Arial"/>
          <w:sz w:val="22"/>
          <w:szCs w:val="22"/>
        </w:rPr>
        <w:t>part de</w:t>
      </w:r>
      <w:r w:rsidRPr="00FF31EB">
        <w:rPr>
          <w:rFonts w:ascii="Arial" w:hAnsi="Arial" w:cs="Arial"/>
          <w:sz w:val="22"/>
          <w:szCs w:val="22"/>
        </w:rPr>
        <w:t xml:space="preserve"> la notion </w:t>
      </w:r>
      <w:r w:rsidR="006D78E4" w:rsidRPr="00FF31EB">
        <w:rPr>
          <w:rFonts w:ascii="Arial" w:hAnsi="Arial" w:cs="Arial"/>
          <w:sz w:val="22"/>
          <w:szCs w:val="22"/>
        </w:rPr>
        <w:t>d’</w:t>
      </w:r>
      <w:r w:rsidRPr="00FF31EB">
        <w:rPr>
          <w:rFonts w:ascii="Arial" w:hAnsi="Arial" w:cs="Arial"/>
          <w:sz w:val="22"/>
          <w:szCs w:val="22"/>
        </w:rPr>
        <w:t xml:space="preserve">incapacités </w:t>
      </w:r>
      <w:r w:rsidR="006D78E4" w:rsidRPr="00FF31EB">
        <w:rPr>
          <w:rFonts w:ascii="Arial" w:hAnsi="Arial" w:cs="Arial"/>
          <w:sz w:val="22"/>
          <w:szCs w:val="22"/>
        </w:rPr>
        <w:t xml:space="preserve">notamment </w:t>
      </w:r>
      <w:r w:rsidRPr="00FF31EB">
        <w:rPr>
          <w:rFonts w:ascii="Arial" w:hAnsi="Arial" w:cs="Arial"/>
          <w:sz w:val="22"/>
          <w:szCs w:val="22"/>
        </w:rPr>
        <w:t>sensorielles</w:t>
      </w:r>
      <w:r w:rsidR="006D78E4" w:rsidRPr="00FF31EB">
        <w:rPr>
          <w:rFonts w:ascii="Arial" w:hAnsi="Arial" w:cs="Arial"/>
          <w:sz w:val="22"/>
          <w:szCs w:val="22"/>
        </w:rPr>
        <w:t>, et non du handicap</w:t>
      </w:r>
      <w:r w:rsidRPr="00FF31EB">
        <w:rPr>
          <w:rFonts w:ascii="Arial" w:hAnsi="Arial" w:cs="Arial"/>
          <w:sz w:val="22"/>
          <w:szCs w:val="22"/>
        </w:rPr>
        <w:t xml:space="preserve">, elle ne confère pas de droits supplémentaires aux personnes invalides au sens du droit suisse, en particulier à l’égard de la LAI. </w:t>
      </w:r>
    </w:p>
    <w:p w:rsidR="00CB480F" w:rsidRPr="00FF31EB" w:rsidRDefault="00CB480F" w:rsidP="00DE483C">
      <w:pPr>
        <w:jc w:val="both"/>
        <w:rPr>
          <w:rFonts w:ascii="Arial" w:hAnsi="Arial" w:cs="Arial"/>
          <w:sz w:val="22"/>
          <w:szCs w:val="22"/>
        </w:rPr>
      </w:pPr>
    </w:p>
    <w:p w:rsidR="003C49BE" w:rsidRPr="00FF31EB" w:rsidRDefault="006D78E4" w:rsidP="00DE483C">
      <w:pPr>
        <w:jc w:val="both"/>
        <w:rPr>
          <w:rFonts w:ascii="Arial" w:hAnsi="Arial" w:cs="Arial"/>
          <w:sz w:val="22"/>
          <w:szCs w:val="22"/>
        </w:rPr>
      </w:pPr>
      <w:r w:rsidRPr="00FF31EB">
        <w:rPr>
          <w:rFonts w:ascii="Arial" w:hAnsi="Arial" w:cs="Arial"/>
          <w:sz w:val="22"/>
          <w:szCs w:val="22"/>
        </w:rPr>
        <w:t xml:space="preserve">Cette Convention représente (comme bien des textes internationaux) une forme de « programme » qui s’adressent aux </w:t>
      </w:r>
      <w:proofErr w:type="spellStart"/>
      <w:r w:rsidRPr="00FF31EB">
        <w:rPr>
          <w:rFonts w:ascii="Arial" w:hAnsi="Arial" w:cs="Arial"/>
          <w:sz w:val="22"/>
          <w:szCs w:val="22"/>
        </w:rPr>
        <w:t>Etats</w:t>
      </w:r>
      <w:proofErr w:type="spellEnd"/>
      <w:r w:rsidRPr="00FF31EB">
        <w:rPr>
          <w:rFonts w:ascii="Arial" w:hAnsi="Arial" w:cs="Arial"/>
          <w:sz w:val="22"/>
          <w:szCs w:val="22"/>
        </w:rPr>
        <w:t xml:space="preserve"> signataires (texte non self </w:t>
      </w:r>
      <w:proofErr w:type="spellStart"/>
      <w:r w:rsidRPr="00FF31EB">
        <w:rPr>
          <w:rFonts w:ascii="Arial" w:hAnsi="Arial" w:cs="Arial"/>
          <w:sz w:val="22"/>
          <w:szCs w:val="22"/>
        </w:rPr>
        <w:t>executing</w:t>
      </w:r>
      <w:proofErr w:type="spellEnd"/>
      <w:r w:rsidRPr="00FF31EB">
        <w:rPr>
          <w:rFonts w:ascii="Arial" w:hAnsi="Arial" w:cs="Arial"/>
          <w:sz w:val="22"/>
          <w:szCs w:val="22"/>
        </w:rPr>
        <w:t xml:space="preserve">) et elle doit être suivie de dispositions nationales. </w:t>
      </w:r>
    </w:p>
    <w:p w:rsidR="006D78E4" w:rsidRPr="00FF31EB" w:rsidRDefault="006D78E4" w:rsidP="00DE483C">
      <w:pPr>
        <w:jc w:val="both"/>
        <w:rPr>
          <w:rFonts w:ascii="Arial" w:hAnsi="Arial" w:cs="Arial"/>
          <w:sz w:val="22"/>
          <w:szCs w:val="22"/>
        </w:rPr>
      </w:pPr>
    </w:p>
    <w:p w:rsidR="009778BD" w:rsidRPr="00FF31EB" w:rsidRDefault="009778BD" w:rsidP="00DE483C">
      <w:pPr>
        <w:jc w:val="both"/>
        <w:rPr>
          <w:rFonts w:ascii="Arial" w:hAnsi="Arial" w:cs="Arial"/>
          <w:sz w:val="22"/>
          <w:szCs w:val="22"/>
        </w:rPr>
      </w:pPr>
      <w:r w:rsidRPr="00FF31EB">
        <w:rPr>
          <w:rFonts w:ascii="Arial" w:hAnsi="Arial" w:cs="Arial"/>
          <w:sz w:val="22"/>
          <w:szCs w:val="22"/>
        </w:rPr>
        <w:t xml:space="preserve">On constate ainsi que les principes généraux de la CDPH sont d’ores et déjà « implémentés » en droit suisse, à différents « endroits », principalement la Constitution fédérale, dans les droits fondamentaux : </w:t>
      </w:r>
    </w:p>
    <w:p w:rsidR="009778BD" w:rsidRPr="00FF31EB" w:rsidRDefault="009778BD" w:rsidP="00DE483C">
      <w:pPr>
        <w:pStyle w:val="Paragraphedeliste"/>
        <w:numPr>
          <w:ilvl w:val="0"/>
          <w:numId w:val="27"/>
        </w:numPr>
        <w:spacing w:after="0" w:line="240" w:lineRule="auto"/>
        <w:jc w:val="both"/>
        <w:rPr>
          <w:rFonts w:ascii="Arial" w:eastAsia="Times New Roman" w:hAnsi="Arial" w:cs="Arial"/>
          <w:i/>
          <w:iCs/>
          <w:lang w:eastAsia="fr-FR"/>
        </w:rPr>
      </w:pPr>
      <w:r w:rsidRPr="00FF31EB">
        <w:rPr>
          <w:rFonts w:ascii="Arial" w:eastAsia="Times New Roman" w:hAnsi="Arial" w:cs="Arial"/>
          <w:i/>
          <w:iCs/>
          <w:lang w:eastAsia="fr-FR"/>
        </w:rPr>
        <w:t>le respect de la dignité intrinsèque, de l’autonomie individuelle, y compris la liberté de faire ses propres choix, et de l’indépendance des personnes</w:t>
      </w:r>
    </w:p>
    <w:p w:rsidR="009778BD" w:rsidRPr="00FF31EB" w:rsidRDefault="009778BD" w:rsidP="00DE483C">
      <w:pPr>
        <w:pStyle w:val="Paragraphedeliste"/>
        <w:numPr>
          <w:ilvl w:val="0"/>
          <w:numId w:val="27"/>
        </w:numPr>
        <w:spacing w:after="0" w:line="240" w:lineRule="auto"/>
        <w:jc w:val="both"/>
        <w:rPr>
          <w:rFonts w:ascii="Arial" w:eastAsia="Times New Roman" w:hAnsi="Arial" w:cs="Arial"/>
          <w:i/>
          <w:iCs/>
          <w:lang w:eastAsia="fr-FR"/>
        </w:rPr>
      </w:pPr>
      <w:r w:rsidRPr="00FF31EB">
        <w:rPr>
          <w:rFonts w:ascii="Arial" w:eastAsia="Times New Roman" w:hAnsi="Arial" w:cs="Arial"/>
          <w:i/>
          <w:iCs/>
          <w:lang w:eastAsia="fr-FR"/>
        </w:rPr>
        <w:t>la non-discrimination</w:t>
      </w:r>
    </w:p>
    <w:p w:rsidR="009778BD" w:rsidRPr="00FF31EB" w:rsidRDefault="009778BD" w:rsidP="00DE483C">
      <w:pPr>
        <w:pStyle w:val="Paragraphedeliste"/>
        <w:numPr>
          <w:ilvl w:val="0"/>
          <w:numId w:val="27"/>
        </w:numPr>
        <w:spacing w:after="0" w:line="240" w:lineRule="auto"/>
        <w:jc w:val="both"/>
        <w:rPr>
          <w:rFonts w:ascii="Arial" w:eastAsia="Times New Roman" w:hAnsi="Arial" w:cs="Arial"/>
          <w:i/>
          <w:iCs/>
          <w:lang w:eastAsia="fr-FR"/>
        </w:rPr>
      </w:pPr>
      <w:r w:rsidRPr="00FF31EB">
        <w:rPr>
          <w:rFonts w:ascii="Arial" w:eastAsia="Times New Roman" w:hAnsi="Arial" w:cs="Arial"/>
          <w:i/>
          <w:iCs/>
          <w:lang w:eastAsia="fr-FR"/>
        </w:rPr>
        <w:t>la participation et l’intégration pleines et effectives à la sociét</w:t>
      </w:r>
      <w:r w:rsidRPr="00FF31EB">
        <w:rPr>
          <w:rFonts w:ascii="Arial" w:eastAsia="Times New Roman" w:hAnsi="Arial" w:cs="Arial"/>
          <w:i/>
          <w:iCs/>
          <w:lang w:eastAsia="fr-FR"/>
        </w:rPr>
        <w:t>é</w:t>
      </w:r>
    </w:p>
    <w:p w:rsidR="009778BD" w:rsidRPr="00FF31EB" w:rsidRDefault="009778BD" w:rsidP="00DE483C">
      <w:pPr>
        <w:pStyle w:val="Paragraphedeliste"/>
        <w:numPr>
          <w:ilvl w:val="0"/>
          <w:numId w:val="27"/>
        </w:numPr>
        <w:spacing w:after="0" w:line="240" w:lineRule="auto"/>
        <w:jc w:val="both"/>
        <w:rPr>
          <w:rFonts w:ascii="Arial" w:eastAsia="Times New Roman" w:hAnsi="Arial" w:cs="Arial"/>
          <w:i/>
          <w:iCs/>
          <w:lang w:eastAsia="fr-FR"/>
        </w:rPr>
      </w:pPr>
      <w:r w:rsidRPr="00FF31EB">
        <w:rPr>
          <w:rFonts w:ascii="Arial" w:eastAsia="Times New Roman" w:hAnsi="Arial" w:cs="Arial"/>
          <w:i/>
          <w:iCs/>
          <w:lang w:eastAsia="fr-FR"/>
        </w:rPr>
        <w:t>le respect de la différence et l’acceptation des personnes handicapées comme faisant partie de la diversité humaine et de l’humanité</w:t>
      </w:r>
    </w:p>
    <w:p w:rsidR="009778BD" w:rsidRPr="00FF31EB" w:rsidRDefault="009778BD" w:rsidP="00DE483C">
      <w:pPr>
        <w:pStyle w:val="Paragraphedeliste"/>
        <w:numPr>
          <w:ilvl w:val="0"/>
          <w:numId w:val="27"/>
        </w:numPr>
        <w:spacing w:after="0" w:line="240" w:lineRule="auto"/>
        <w:jc w:val="both"/>
        <w:rPr>
          <w:rFonts w:ascii="Arial" w:eastAsia="Times New Roman" w:hAnsi="Arial" w:cs="Arial"/>
          <w:i/>
          <w:iCs/>
          <w:lang w:eastAsia="fr-FR"/>
        </w:rPr>
      </w:pPr>
      <w:r w:rsidRPr="00FF31EB">
        <w:rPr>
          <w:rFonts w:ascii="Arial" w:eastAsia="Times New Roman" w:hAnsi="Arial" w:cs="Arial"/>
          <w:i/>
          <w:iCs/>
          <w:lang w:eastAsia="fr-FR"/>
        </w:rPr>
        <w:t>l’égalité des chances</w:t>
      </w:r>
    </w:p>
    <w:p w:rsidR="009778BD" w:rsidRPr="00FF31EB" w:rsidRDefault="009778BD" w:rsidP="00DE483C">
      <w:pPr>
        <w:pStyle w:val="Paragraphedeliste"/>
        <w:numPr>
          <w:ilvl w:val="0"/>
          <w:numId w:val="27"/>
        </w:numPr>
        <w:spacing w:after="0" w:line="240" w:lineRule="auto"/>
        <w:jc w:val="both"/>
        <w:rPr>
          <w:rFonts w:ascii="Arial" w:eastAsia="Times New Roman" w:hAnsi="Arial" w:cs="Arial"/>
          <w:i/>
          <w:iCs/>
          <w:lang w:eastAsia="fr-FR"/>
        </w:rPr>
      </w:pPr>
      <w:r w:rsidRPr="00FF31EB">
        <w:rPr>
          <w:rFonts w:ascii="Arial" w:eastAsia="Times New Roman" w:hAnsi="Arial" w:cs="Arial"/>
          <w:i/>
          <w:iCs/>
          <w:lang w:eastAsia="fr-FR"/>
        </w:rPr>
        <w:t>l’accessibilité</w:t>
      </w:r>
    </w:p>
    <w:p w:rsidR="009778BD" w:rsidRPr="00FF31EB" w:rsidRDefault="009778BD" w:rsidP="00DE483C">
      <w:pPr>
        <w:pStyle w:val="Paragraphedeliste"/>
        <w:numPr>
          <w:ilvl w:val="0"/>
          <w:numId w:val="27"/>
        </w:numPr>
        <w:spacing w:after="0" w:line="240" w:lineRule="auto"/>
        <w:jc w:val="both"/>
        <w:rPr>
          <w:rFonts w:ascii="Arial" w:eastAsia="Times New Roman" w:hAnsi="Arial" w:cs="Arial"/>
          <w:i/>
          <w:iCs/>
          <w:lang w:eastAsia="fr-FR"/>
        </w:rPr>
      </w:pPr>
      <w:r w:rsidRPr="00FF31EB">
        <w:rPr>
          <w:rFonts w:ascii="Arial" w:eastAsia="Times New Roman" w:hAnsi="Arial" w:cs="Arial"/>
          <w:i/>
          <w:iCs/>
          <w:lang w:eastAsia="fr-FR"/>
        </w:rPr>
        <w:t>l’égalité entre les hommes et les femmes</w:t>
      </w:r>
    </w:p>
    <w:p w:rsidR="009778BD" w:rsidRPr="00FF31EB" w:rsidRDefault="009778BD" w:rsidP="00DE483C">
      <w:pPr>
        <w:pStyle w:val="Paragraphedeliste"/>
        <w:numPr>
          <w:ilvl w:val="0"/>
          <w:numId w:val="27"/>
        </w:numPr>
        <w:spacing w:after="0" w:line="240" w:lineRule="auto"/>
        <w:jc w:val="both"/>
        <w:rPr>
          <w:rFonts w:ascii="Arial" w:eastAsia="Times New Roman" w:hAnsi="Arial" w:cs="Arial"/>
          <w:i/>
          <w:iCs/>
          <w:lang w:eastAsia="fr-FR"/>
        </w:rPr>
      </w:pPr>
      <w:r w:rsidRPr="00FF31EB">
        <w:rPr>
          <w:rFonts w:ascii="Arial" w:eastAsia="Times New Roman" w:hAnsi="Arial" w:cs="Arial"/>
          <w:i/>
          <w:iCs/>
          <w:lang w:eastAsia="fr-FR"/>
        </w:rPr>
        <w:t>le respect du développement des capacités de l’enfant handicapé et le respect du droit des enfants handicapés à préserver leur identité.</w:t>
      </w:r>
    </w:p>
    <w:p w:rsidR="009778BD" w:rsidRPr="00FF31EB" w:rsidRDefault="009778BD" w:rsidP="00DE483C">
      <w:pPr>
        <w:jc w:val="both"/>
        <w:rPr>
          <w:rFonts w:ascii="Arial" w:hAnsi="Arial" w:cs="Arial"/>
          <w:sz w:val="22"/>
          <w:szCs w:val="22"/>
        </w:rPr>
      </w:pPr>
    </w:p>
    <w:p w:rsidR="009778BD" w:rsidRPr="00FF31EB" w:rsidRDefault="00DE483C" w:rsidP="00DE483C">
      <w:pPr>
        <w:jc w:val="both"/>
        <w:rPr>
          <w:rFonts w:ascii="Arial" w:hAnsi="Arial" w:cs="Arial"/>
          <w:sz w:val="22"/>
          <w:szCs w:val="22"/>
        </w:rPr>
      </w:pPr>
      <w:r w:rsidRPr="00FF31EB">
        <w:rPr>
          <w:rFonts w:ascii="Arial" w:hAnsi="Arial" w:cs="Arial"/>
          <w:sz w:val="22"/>
          <w:szCs w:val="22"/>
        </w:rPr>
        <w:lastRenderedPageBreak/>
        <w:t xml:space="preserve">Je trouve socialement relevant, juridiquement inopérant, que la situation de la femme handicapée fasse l’objet de l’art. 6 CDPH, cette disposition mettant en mots des réalités existantes : </w:t>
      </w:r>
    </w:p>
    <w:p w:rsidR="00DE483C" w:rsidRPr="00FF31EB" w:rsidRDefault="00DE483C" w:rsidP="00DE483C">
      <w:pPr>
        <w:jc w:val="both"/>
        <w:rPr>
          <w:rFonts w:ascii="Arial" w:hAnsi="Arial" w:cs="Arial"/>
          <w:sz w:val="22"/>
          <w:szCs w:val="22"/>
        </w:rPr>
      </w:pPr>
    </w:p>
    <w:p w:rsidR="00DE483C" w:rsidRPr="00FF31EB" w:rsidRDefault="00DE483C" w:rsidP="00DE483C">
      <w:pPr>
        <w:jc w:val="both"/>
        <w:rPr>
          <w:rFonts w:ascii="Arial" w:hAnsi="Arial" w:cs="Arial"/>
          <w:sz w:val="22"/>
          <w:szCs w:val="22"/>
        </w:rPr>
      </w:pPr>
      <w:r w:rsidRPr="00FF31EB">
        <w:rPr>
          <w:rFonts w:ascii="Arial" w:hAnsi="Arial" w:cs="Arial"/>
          <w:sz w:val="22"/>
          <w:szCs w:val="22"/>
        </w:rPr>
        <w:t>« </w:t>
      </w:r>
      <w:r w:rsidRPr="00FF31EB">
        <w:rPr>
          <w:rFonts w:ascii="Arial" w:hAnsi="Arial" w:cs="Arial"/>
          <w:i/>
          <w:iCs/>
          <w:sz w:val="22"/>
          <w:szCs w:val="22"/>
        </w:rPr>
        <w:t>Les États Parties reconnaissent que les femmes et les filles handicapées sont exposées à de multiples discriminations, et ils prennent les mesures voulues pour leur permettre de jouir pleinement et dans des conditions d’égalité de tous les droits de l’homme et de toutes les libertés fondamentales</w:t>
      </w:r>
      <w:r w:rsidRPr="00FF31EB">
        <w:rPr>
          <w:rFonts w:ascii="Arial" w:hAnsi="Arial" w:cs="Arial"/>
          <w:sz w:val="22"/>
          <w:szCs w:val="22"/>
        </w:rPr>
        <w:t xml:space="preserve"> ». </w:t>
      </w:r>
    </w:p>
    <w:p w:rsidR="00DE483C" w:rsidRPr="00FF31EB" w:rsidRDefault="00DE483C" w:rsidP="00DE483C">
      <w:pPr>
        <w:jc w:val="both"/>
        <w:rPr>
          <w:rFonts w:ascii="Arial" w:hAnsi="Arial" w:cs="Arial"/>
          <w:sz w:val="22"/>
          <w:szCs w:val="22"/>
        </w:rPr>
      </w:pPr>
    </w:p>
    <w:p w:rsidR="00910B54" w:rsidRPr="00FF31EB" w:rsidRDefault="00910B54" w:rsidP="00DE483C">
      <w:pPr>
        <w:jc w:val="both"/>
        <w:rPr>
          <w:rFonts w:ascii="Arial" w:hAnsi="Arial" w:cs="Arial"/>
          <w:sz w:val="22"/>
          <w:szCs w:val="22"/>
        </w:rPr>
      </w:pPr>
      <w:r w:rsidRPr="00FF31EB">
        <w:rPr>
          <w:rFonts w:ascii="Arial" w:hAnsi="Arial" w:cs="Arial"/>
          <w:sz w:val="22"/>
          <w:szCs w:val="22"/>
        </w:rPr>
        <w:t xml:space="preserve">Finalement, on peut faire un parallèle entre la CEDH et la CDPH, notamment en ce qui concerne les droits traités dans la CDPH : </w:t>
      </w:r>
    </w:p>
    <w:p w:rsidR="00910B54" w:rsidRPr="00FF31EB" w:rsidRDefault="00910B54" w:rsidP="00910B54">
      <w:pPr>
        <w:pStyle w:val="Paragraphedeliste"/>
        <w:numPr>
          <w:ilvl w:val="0"/>
          <w:numId w:val="25"/>
        </w:numPr>
        <w:jc w:val="both"/>
        <w:rPr>
          <w:rFonts w:ascii="Arial" w:hAnsi="Arial" w:cs="Arial"/>
        </w:rPr>
      </w:pPr>
      <w:r w:rsidRPr="00FF31EB">
        <w:rPr>
          <w:rFonts w:ascii="Arial" w:hAnsi="Arial" w:cs="Arial"/>
        </w:rPr>
        <w:t>liberté d’expression et accès à l’information, même si l’expression et l’accès peuvent représenter une difficulté particulière pour les personnes en situation de handicap (art. 21 CDPH)</w:t>
      </w:r>
    </w:p>
    <w:p w:rsidR="00910B54" w:rsidRPr="00FF31EB" w:rsidRDefault="00910B54" w:rsidP="00910B54">
      <w:pPr>
        <w:pStyle w:val="Paragraphedeliste"/>
        <w:numPr>
          <w:ilvl w:val="0"/>
          <w:numId w:val="25"/>
        </w:numPr>
        <w:jc w:val="both"/>
        <w:rPr>
          <w:rFonts w:ascii="Arial" w:hAnsi="Arial" w:cs="Arial"/>
        </w:rPr>
      </w:pPr>
      <w:r w:rsidRPr="00FF31EB">
        <w:rPr>
          <w:rFonts w:ascii="Arial" w:hAnsi="Arial" w:cs="Arial"/>
        </w:rPr>
        <w:t>protection de l’intégrité de la personne (art. 17 CDPH)</w:t>
      </w:r>
    </w:p>
    <w:p w:rsidR="00910B54" w:rsidRPr="00FF31EB" w:rsidRDefault="00910B54" w:rsidP="00910B54">
      <w:pPr>
        <w:pStyle w:val="Paragraphedeliste"/>
        <w:numPr>
          <w:ilvl w:val="0"/>
          <w:numId w:val="25"/>
        </w:numPr>
        <w:jc w:val="both"/>
        <w:rPr>
          <w:rFonts w:ascii="Arial" w:hAnsi="Arial" w:cs="Arial"/>
        </w:rPr>
      </w:pPr>
      <w:r w:rsidRPr="00FF31EB">
        <w:rPr>
          <w:rFonts w:ascii="Arial" w:hAnsi="Arial" w:cs="Arial"/>
        </w:rPr>
        <w:t>droit de circuler librement et nationalité (art. 18 CDPH)</w:t>
      </w:r>
    </w:p>
    <w:p w:rsidR="00DE483C" w:rsidRPr="00FF31EB" w:rsidRDefault="00DE483C" w:rsidP="00DE483C">
      <w:pPr>
        <w:jc w:val="both"/>
        <w:rPr>
          <w:rFonts w:ascii="Arial" w:hAnsi="Arial" w:cs="Arial"/>
          <w:sz w:val="22"/>
          <w:szCs w:val="22"/>
        </w:rPr>
      </w:pPr>
    </w:p>
    <w:p w:rsidR="00FF31EB" w:rsidRPr="00FF31EB" w:rsidRDefault="00FF31EB" w:rsidP="00FF31EB">
      <w:pPr>
        <w:rPr>
          <w:rFonts w:ascii="Arial" w:hAnsi="Arial" w:cs="Arial"/>
          <w:sz w:val="22"/>
          <w:szCs w:val="22"/>
        </w:rPr>
      </w:pPr>
      <w:r w:rsidRPr="00FF31EB">
        <w:rPr>
          <w:rFonts w:ascii="Arial" w:hAnsi="Arial" w:cs="Arial"/>
          <w:sz w:val="22"/>
          <w:szCs w:val="22"/>
        </w:rPr>
        <w:t xml:space="preserve">Selon l’art. 50 CDPH, </w:t>
      </w:r>
      <w:r w:rsidRPr="00FF31EB">
        <w:rPr>
          <w:rFonts w:ascii="Arial" w:hAnsi="Arial" w:cs="Arial"/>
          <w:sz w:val="22"/>
          <w:szCs w:val="22"/>
        </w:rPr>
        <w:t>Les textes anglais, arabe, chinois, espagnol, français et russe de la présente Convention font également foi</w:t>
      </w:r>
      <w:r w:rsidRPr="00FF31EB">
        <w:rPr>
          <w:rFonts w:ascii="Arial" w:hAnsi="Arial" w:cs="Arial"/>
          <w:sz w:val="22"/>
          <w:szCs w:val="22"/>
        </w:rPr>
        <w:t xml:space="preserve"> » : j’espère que la Convention a été établie aussi en braille et en langage simplifié. </w:t>
      </w:r>
    </w:p>
    <w:p w:rsidR="00FF31EB" w:rsidRPr="00FF31EB" w:rsidRDefault="00FF31EB" w:rsidP="00FF31EB">
      <w:pPr>
        <w:rPr>
          <w:rFonts w:ascii="Arial" w:hAnsi="Arial" w:cs="Arial"/>
          <w:sz w:val="22"/>
          <w:szCs w:val="22"/>
        </w:rPr>
      </w:pPr>
    </w:p>
    <w:p w:rsidR="006D78E4" w:rsidRPr="00FF31EB" w:rsidRDefault="009778BD" w:rsidP="00DE483C">
      <w:pPr>
        <w:jc w:val="both"/>
        <w:rPr>
          <w:rFonts w:ascii="Arial" w:hAnsi="Arial" w:cs="Arial"/>
          <w:sz w:val="22"/>
          <w:szCs w:val="22"/>
        </w:rPr>
      </w:pPr>
      <w:r w:rsidRPr="00FF31EB">
        <w:rPr>
          <w:rFonts w:ascii="Arial" w:hAnsi="Arial" w:cs="Arial"/>
          <w:sz w:val="22"/>
          <w:szCs w:val="22"/>
        </w:rPr>
        <w:t>Pour concrétiser les différents engagements découlant de la CDPH</w:t>
      </w:r>
      <w:r w:rsidR="006D78E4" w:rsidRPr="00FF31EB">
        <w:rPr>
          <w:rFonts w:ascii="Arial" w:hAnsi="Arial" w:cs="Arial"/>
          <w:sz w:val="22"/>
          <w:szCs w:val="22"/>
        </w:rPr>
        <w:t xml:space="preserve">, on relèvera bien évidemment le rôle de l’assurance-invalidité, de l’assurance-maladie en particulier mais également de l’assurance-accidents, de l’assurance militaire et des prestations complémentaires à l’AVS-AI (LPC AVS-AI). </w:t>
      </w:r>
    </w:p>
    <w:p w:rsidR="00FF19C0" w:rsidRPr="00FF31EB" w:rsidRDefault="00FF19C0" w:rsidP="00DE483C">
      <w:pPr>
        <w:jc w:val="both"/>
        <w:rPr>
          <w:rFonts w:ascii="Arial" w:hAnsi="Arial" w:cs="Arial"/>
          <w:sz w:val="22"/>
          <w:szCs w:val="22"/>
        </w:rPr>
      </w:pPr>
      <w:r w:rsidRPr="00FF31EB">
        <w:rPr>
          <w:rFonts w:ascii="Arial" w:hAnsi="Arial" w:cs="Arial"/>
          <w:sz w:val="22"/>
          <w:szCs w:val="22"/>
        </w:rPr>
        <w:br w:type="page"/>
      </w:r>
    </w:p>
    <w:p w:rsidR="00FF19C0" w:rsidRPr="00FF31EB" w:rsidRDefault="00FF19C0" w:rsidP="00DE483C">
      <w:pPr>
        <w:jc w:val="both"/>
        <w:rPr>
          <w:rFonts w:ascii="Arial" w:hAnsi="Arial" w:cs="Arial"/>
          <w:sz w:val="22"/>
          <w:szCs w:val="22"/>
        </w:rPr>
      </w:pPr>
      <w:r w:rsidRPr="00FF31EB">
        <w:rPr>
          <w:rFonts w:ascii="Arial" w:hAnsi="Arial" w:cs="Arial"/>
          <w:b/>
          <w:bCs/>
          <w:caps/>
          <w:sz w:val="22"/>
          <w:szCs w:val="22"/>
        </w:rPr>
        <w:lastRenderedPageBreak/>
        <w:t>droit à la santé et handicap (généralités)</w:t>
      </w:r>
    </w:p>
    <w:p w:rsidR="00FF19C0" w:rsidRPr="00FF31EB" w:rsidRDefault="00FF19C0" w:rsidP="00DE483C">
      <w:pPr>
        <w:pBdr>
          <w:bottom w:val="single" w:sz="12" w:space="1" w:color="auto"/>
        </w:pBdr>
        <w:jc w:val="both"/>
        <w:rPr>
          <w:rFonts w:ascii="Arial" w:hAnsi="Arial" w:cs="Arial"/>
          <w:b/>
          <w:bCs/>
          <w:smallCaps/>
          <w:sz w:val="22"/>
          <w:szCs w:val="22"/>
        </w:rPr>
      </w:pPr>
    </w:p>
    <w:p w:rsidR="00FF19C0" w:rsidRPr="00FF31EB" w:rsidRDefault="00FF19C0" w:rsidP="00DE483C">
      <w:pPr>
        <w:pBdr>
          <w:bottom w:val="single" w:sz="12" w:space="1" w:color="auto"/>
        </w:pBdr>
        <w:jc w:val="both"/>
        <w:rPr>
          <w:rFonts w:ascii="Arial" w:hAnsi="Arial" w:cs="Arial"/>
          <w:b/>
          <w:bCs/>
          <w:smallCaps/>
          <w:sz w:val="22"/>
          <w:szCs w:val="22"/>
        </w:rPr>
      </w:pPr>
      <w:r w:rsidRPr="00FF31EB">
        <w:rPr>
          <w:rFonts w:ascii="Arial" w:hAnsi="Arial" w:cs="Arial"/>
          <w:b/>
          <w:bCs/>
          <w:smallCaps/>
          <w:sz w:val="22"/>
          <w:szCs w:val="22"/>
        </w:rPr>
        <w:t xml:space="preserve">Pour une personne en situation de handicap, se vivre en bonne santé se définit probablement différemment que pour une personne exempte de handicap. Comment améliorer la santé des personnes en situation de handicap ? </w:t>
      </w:r>
    </w:p>
    <w:p w:rsidR="00FF19C0" w:rsidRPr="00FF31EB" w:rsidRDefault="00FF19C0" w:rsidP="00DE483C">
      <w:pPr>
        <w:jc w:val="both"/>
        <w:rPr>
          <w:rFonts w:ascii="Arial" w:hAnsi="Arial" w:cs="Arial"/>
          <w:sz w:val="22"/>
          <w:szCs w:val="22"/>
        </w:rPr>
      </w:pPr>
    </w:p>
    <w:p w:rsidR="0063533F" w:rsidRDefault="0063533F" w:rsidP="00DE483C">
      <w:pPr>
        <w:jc w:val="both"/>
        <w:rPr>
          <w:rFonts w:ascii="Arial" w:hAnsi="Arial" w:cs="Arial"/>
          <w:sz w:val="22"/>
          <w:szCs w:val="22"/>
        </w:rPr>
      </w:pPr>
      <w:r>
        <w:rPr>
          <w:rFonts w:ascii="Arial" w:hAnsi="Arial" w:cs="Arial"/>
          <w:sz w:val="22"/>
          <w:szCs w:val="22"/>
        </w:rPr>
        <w:t xml:space="preserve">Si on admet que la santé de la personne concernée est (relativement) stable, il s’agira d’améliorer les facteurs extérieurs, ce qu’on appelle </w:t>
      </w:r>
      <w:r w:rsidRPr="00B32A63">
        <w:rPr>
          <w:rFonts w:ascii="Arial" w:hAnsi="Arial" w:cs="Arial"/>
          <w:b/>
          <w:bCs/>
          <w:sz w:val="22"/>
          <w:szCs w:val="22"/>
        </w:rPr>
        <w:t>les déterminants sociaux</w:t>
      </w:r>
      <w:r>
        <w:rPr>
          <w:rFonts w:ascii="Arial" w:hAnsi="Arial" w:cs="Arial"/>
          <w:sz w:val="22"/>
          <w:szCs w:val="22"/>
        </w:rPr>
        <w:t>, lesquels impactent fortement sur la santé et sur le ressenti de l’état de santé.</w:t>
      </w:r>
    </w:p>
    <w:p w:rsidR="00295E60" w:rsidRDefault="00295E60" w:rsidP="00DE483C">
      <w:pPr>
        <w:jc w:val="both"/>
        <w:rPr>
          <w:rFonts w:ascii="Arial" w:hAnsi="Arial" w:cs="Arial"/>
          <w:sz w:val="22"/>
          <w:szCs w:val="22"/>
        </w:rPr>
      </w:pPr>
    </w:p>
    <w:p w:rsidR="0063533F" w:rsidRDefault="0063533F" w:rsidP="00DE483C">
      <w:pPr>
        <w:jc w:val="both"/>
        <w:rPr>
          <w:rFonts w:ascii="Arial" w:hAnsi="Arial" w:cs="Arial"/>
          <w:sz w:val="22"/>
          <w:szCs w:val="22"/>
        </w:rPr>
      </w:pPr>
      <w:r>
        <w:rPr>
          <w:rFonts w:ascii="Arial" w:hAnsi="Arial" w:cs="Arial"/>
          <w:sz w:val="22"/>
          <w:szCs w:val="22"/>
        </w:rPr>
        <w:t>Il serait dès lors possible de l’améliorer en augmentant l’accessibilité aux services d’une part de la société (barrières architecturales par exemple), du système de santé d’autre part, pour garantir une participation sociale à toutes et tous.</w:t>
      </w:r>
    </w:p>
    <w:p w:rsidR="00A2423D" w:rsidRDefault="00A2423D" w:rsidP="00DE483C">
      <w:pPr>
        <w:jc w:val="both"/>
        <w:rPr>
          <w:rFonts w:ascii="Arial" w:hAnsi="Arial" w:cs="Arial"/>
          <w:sz w:val="22"/>
          <w:szCs w:val="22"/>
        </w:rPr>
      </w:pPr>
    </w:p>
    <w:p w:rsidR="00A2423D" w:rsidRDefault="00A2423D" w:rsidP="00DE483C">
      <w:pPr>
        <w:jc w:val="both"/>
        <w:rPr>
          <w:rFonts w:ascii="Arial" w:hAnsi="Arial" w:cs="Arial"/>
          <w:sz w:val="22"/>
          <w:szCs w:val="22"/>
        </w:rPr>
      </w:pPr>
      <w:r>
        <w:rPr>
          <w:rFonts w:ascii="Arial" w:hAnsi="Arial" w:cs="Arial"/>
          <w:sz w:val="22"/>
          <w:szCs w:val="22"/>
        </w:rPr>
        <w:t xml:space="preserve">Cette volonté se retrouve à l’art. 19 CDPH, les </w:t>
      </w:r>
      <w:proofErr w:type="spellStart"/>
      <w:r>
        <w:rPr>
          <w:rFonts w:ascii="Arial" w:hAnsi="Arial" w:cs="Arial"/>
          <w:sz w:val="22"/>
          <w:szCs w:val="22"/>
        </w:rPr>
        <w:t>Etats</w:t>
      </w:r>
      <w:proofErr w:type="spellEnd"/>
      <w:r>
        <w:rPr>
          <w:rFonts w:ascii="Arial" w:hAnsi="Arial" w:cs="Arial"/>
          <w:sz w:val="22"/>
          <w:szCs w:val="22"/>
        </w:rPr>
        <w:t xml:space="preserve"> signataires reconnaissant « </w:t>
      </w:r>
      <w:r w:rsidRPr="00A2423D">
        <w:rPr>
          <w:rFonts w:ascii="Arial" w:hAnsi="Arial" w:cs="Arial"/>
          <w:i/>
          <w:iCs/>
          <w:sz w:val="22"/>
          <w:szCs w:val="22"/>
        </w:rPr>
        <w:t>à toutes les personnes handicapées le droit de vivre dans la société, avec la même liberté de choix que les autres personnes</w:t>
      </w:r>
      <w:r>
        <w:rPr>
          <w:rFonts w:ascii="Arial" w:hAnsi="Arial" w:cs="Arial"/>
          <w:sz w:val="22"/>
          <w:szCs w:val="22"/>
        </w:rPr>
        <w:t xml:space="preserve"> », les </w:t>
      </w:r>
      <w:proofErr w:type="spellStart"/>
      <w:r>
        <w:rPr>
          <w:rFonts w:ascii="Arial" w:hAnsi="Arial" w:cs="Arial"/>
          <w:sz w:val="22"/>
          <w:szCs w:val="22"/>
        </w:rPr>
        <w:t>Etats</w:t>
      </w:r>
      <w:proofErr w:type="spellEnd"/>
      <w:r>
        <w:rPr>
          <w:rFonts w:ascii="Arial" w:hAnsi="Arial" w:cs="Arial"/>
          <w:sz w:val="22"/>
          <w:szCs w:val="22"/>
        </w:rPr>
        <w:t xml:space="preserve"> s’engageant à prendre les mesures « </w:t>
      </w:r>
      <w:r w:rsidRPr="00A2423D">
        <w:rPr>
          <w:rFonts w:ascii="Arial" w:hAnsi="Arial" w:cs="Arial"/>
          <w:i/>
          <w:iCs/>
          <w:sz w:val="22"/>
          <w:szCs w:val="22"/>
        </w:rPr>
        <w:t>appropriées pour faciliter aux personnes handicapées la pleine jouissance de ce droit ainsi que leur pleine intégration et participation à la société</w:t>
      </w:r>
      <w:r>
        <w:rPr>
          <w:rFonts w:ascii="Arial" w:hAnsi="Arial" w:cs="Arial"/>
          <w:sz w:val="22"/>
          <w:szCs w:val="22"/>
        </w:rPr>
        <w:t xml:space="preserve"> ». </w:t>
      </w:r>
    </w:p>
    <w:p w:rsidR="0063533F" w:rsidRDefault="0063533F" w:rsidP="00DE483C">
      <w:pPr>
        <w:jc w:val="both"/>
        <w:rPr>
          <w:rFonts w:ascii="Arial" w:hAnsi="Arial" w:cs="Arial"/>
          <w:sz w:val="22"/>
          <w:szCs w:val="22"/>
        </w:rPr>
      </w:pPr>
    </w:p>
    <w:p w:rsidR="0063533F" w:rsidRDefault="0063533F" w:rsidP="00DE483C">
      <w:pPr>
        <w:jc w:val="both"/>
        <w:rPr>
          <w:rFonts w:ascii="Arial" w:hAnsi="Arial" w:cs="Arial"/>
          <w:sz w:val="22"/>
          <w:szCs w:val="22"/>
        </w:rPr>
      </w:pPr>
      <w:r>
        <w:rPr>
          <w:rFonts w:ascii="Arial" w:hAnsi="Arial" w:cs="Arial"/>
          <w:sz w:val="22"/>
          <w:szCs w:val="22"/>
        </w:rPr>
        <w:t>La difficulté provient de la très grande hétérogénéité des personnes en situation de handicap (de naissance ou ultérieurement, limitation physique ou psychique notamment</w:t>
      </w:r>
      <w:r w:rsidR="00B32A63">
        <w:rPr>
          <w:rFonts w:ascii="Arial" w:hAnsi="Arial" w:cs="Arial"/>
          <w:sz w:val="22"/>
          <w:szCs w:val="22"/>
        </w:rPr>
        <w:t>, maladies dégénératives, comportement addictif chronique</w:t>
      </w:r>
      <w:r>
        <w:rPr>
          <w:rFonts w:ascii="Arial" w:hAnsi="Arial" w:cs="Arial"/>
          <w:sz w:val="22"/>
          <w:szCs w:val="22"/>
        </w:rPr>
        <w:t>)</w:t>
      </w:r>
      <w:r w:rsidR="00A2423D">
        <w:rPr>
          <w:rFonts w:ascii="Arial" w:hAnsi="Arial" w:cs="Arial"/>
          <w:sz w:val="22"/>
          <w:szCs w:val="22"/>
        </w:rPr>
        <w:t xml:space="preserve"> : ainsi, pour une personne aveugle, les indications sonores ou tactiles seront utiles tandis qu’une personne souffrant d’un trouble du spectre autistique pourra être effrayée par des stimulations auditives. </w:t>
      </w:r>
    </w:p>
    <w:p w:rsidR="00A2423D" w:rsidRDefault="00A2423D" w:rsidP="00DE483C">
      <w:pPr>
        <w:jc w:val="both"/>
        <w:rPr>
          <w:rFonts w:ascii="Arial" w:hAnsi="Arial" w:cs="Arial"/>
          <w:sz w:val="22"/>
          <w:szCs w:val="22"/>
        </w:rPr>
      </w:pPr>
    </w:p>
    <w:p w:rsidR="00A2423D" w:rsidRDefault="00A2423D" w:rsidP="00DE483C">
      <w:pPr>
        <w:jc w:val="both"/>
        <w:rPr>
          <w:rFonts w:ascii="Arial" w:hAnsi="Arial" w:cs="Arial"/>
          <w:sz w:val="22"/>
          <w:szCs w:val="22"/>
        </w:rPr>
      </w:pPr>
      <w:r>
        <w:rPr>
          <w:rFonts w:ascii="Arial" w:hAnsi="Arial" w:cs="Arial"/>
          <w:sz w:val="22"/>
          <w:szCs w:val="22"/>
        </w:rPr>
        <w:t xml:space="preserve">Il découle de la très grande hétérogénéité du handicap une difficulté de représentation dans les différents organes, autorités, instances, qu’elles soient fédérales ou cantonales puisque </w:t>
      </w:r>
      <w:proofErr w:type="spellStart"/>
      <w:r>
        <w:rPr>
          <w:rFonts w:ascii="Arial" w:hAnsi="Arial" w:cs="Arial"/>
          <w:sz w:val="22"/>
          <w:szCs w:val="22"/>
        </w:rPr>
        <w:t>les</w:t>
      </w:r>
      <w:proofErr w:type="spellEnd"/>
      <w:r>
        <w:rPr>
          <w:rFonts w:ascii="Arial" w:hAnsi="Arial" w:cs="Arial"/>
          <w:sz w:val="22"/>
          <w:szCs w:val="22"/>
        </w:rPr>
        <w:t xml:space="preserve"> associations regroupent un ou plusieurs handicaps et qu’il leur est difficile de défendre tous les intérêts : ainsi, Pro </w:t>
      </w:r>
      <w:proofErr w:type="spellStart"/>
      <w:r>
        <w:rPr>
          <w:rFonts w:ascii="Arial" w:hAnsi="Arial" w:cs="Arial"/>
          <w:sz w:val="22"/>
          <w:szCs w:val="22"/>
        </w:rPr>
        <w:t>Infirmis</w:t>
      </w:r>
      <w:proofErr w:type="spellEnd"/>
      <w:r>
        <w:rPr>
          <w:rFonts w:ascii="Arial" w:hAnsi="Arial" w:cs="Arial"/>
          <w:sz w:val="22"/>
          <w:szCs w:val="22"/>
        </w:rPr>
        <w:t xml:space="preserve"> et Pro Mente Sana ne visent pas le même public. </w:t>
      </w:r>
    </w:p>
    <w:p w:rsidR="00A2423D" w:rsidRDefault="00A2423D" w:rsidP="00DE483C">
      <w:pPr>
        <w:jc w:val="both"/>
        <w:rPr>
          <w:rFonts w:ascii="Arial" w:hAnsi="Arial" w:cs="Arial"/>
          <w:sz w:val="22"/>
          <w:szCs w:val="22"/>
        </w:rPr>
      </w:pPr>
    </w:p>
    <w:p w:rsidR="00A2423D" w:rsidRDefault="00FB2898" w:rsidP="00DE483C">
      <w:pPr>
        <w:jc w:val="both"/>
        <w:rPr>
          <w:rFonts w:ascii="Arial" w:hAnsi="Arial" w:cs="Arial"/>
          <w:sz w:val="22"/>
          <w:szCs w:val="22"/>
        </w:rPr>
      </w:pPr>
      <w:r>
        <w:rPr>
          <w:rFonts w:ascii="Arial" w:hAnsi="Arial" w:cs="Arial"/>
          <w:sz w:val="22"/>
          <w:szCs w:val="22"/>
        </w:rPr>
        <w:t>Force est de constater que la résolution de certaines problématiques ne profiterait pas qu’aux personnes en situation de handicap mais également à la population valide : un accès à une rampe est utile non seulement en chaise roulante mais également à des parents avec poussette ou de jeunes enfants.</w:t>
      </w:r>
    </w:p>
    <w:p w:rsidR="00B32A63" w:rsidRDefault="00B32A63" w:rsidP="00DE483C">
      <w:pPr>
        <w:jc w:val="both"/>
        <w:rPr>
          <w:rFonts w:ascii="Arial" w:hAnsi="Arial" w:cs="Arial"/>
          <w:sz w:val="22"/>
          <w:szCs w:val="22"/>
        </w:rPr>
      </w:pPr>
    </w:p>
    <w:p w:rsidR="00B32A63" w:rsidRPr="00FF31EB" w:rsidRDefault="00B32A63" w:rsidP="00DE483C">
      <w:pPr>
        <w:jc w:val="both"/>
        <w:rPr>
          <w:rFonts w:ascii="Arial" w:hAnsi="Arial" w:cs="Arial"/>
          <w:sz w:val="22"/>
          <w:szCs w:val="22"/>
        </w:rPr>
      </w:pPr>
      <w:r>
        <w:rPr>
          <w:rFonts w:ascii="Arial" w:hAnsi="Arial" w:cs="Arial"/>
          <w:sz w:val="22"/>
          <w:szCs w:val="22"/>
        </w:rPr>
        <w:t xml:space="preserve">Finalement, la santé des personnes handicapées se trouverait, je crois, améliorée par une meilleure connaissance des problématiques auxquelles elles sont confrontées par les personnes dites « valides » : le sentiment d’exclusion est aussi dû, selon moi, à un manque de sensibilisation (voire de sensibilité) du monde « valide ». </w:t>
      </w:r>
    </w:p>
    <w:sectPr w:rsidR="00B32A63" w:rsidRPr="00FF31E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18B0" w:rsidRDefault="003718B0" w:rsidP="00412F51">
      <w:r>
        <w:separator/>
      </w:r>
    </w:p>
  </w:endnote>
  <w:endnote w:type="continuationSeparator" w:id="0">
    <w:p w:rsidR="003718B0" w:rsidRDefault="003718B0" w:rsidP="0041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18B0" w:rsidRDefault="003718B0" w:rsidP="00412F51">
      <w:r>
        <w:separator/>
      </w:r>
    </w:p>
  </w:footnote>
  <w:footnote w:type="continuationSeparator" w:id="0">
    <w:p w:rsidR="003718B0" w:rsidRDefault="003718B0" w:rsidP="0041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6584" w:rsidRPr="00506BB0" w:rsidRDefault="00176584" w:rsidP="00176584">
    <w:pPr>
      <w:pStyle w:val="En-tte"/>
      <w:ind w:left="4820"/>
      <w:jc w:val="right"/>
      <w:rPr>
        <w:szCs w:val="20"/>
      </w:rPr>
    </w:pPr>
    <w:r w:rsidRPr="00506BB0">
      <w:rPr>
        <w:szCs w:val="20"/>
      </w:rPr>
      <w:t>CAS droit des patients et santé publi</w:t>
    </w:r>
    <w:r>
      <w:rPr>
        <w:szCs w:val="20"/>
      </w:rPr>
      <w:t>que</w:t>
    </w:r>
    <w:r w:rsidRPr="00506BB0">
      <w:rPr>
        <w:szCs w:val="20"/>
      </w:rPr>
      <w:t xml:space="preserve"> </w:t>
    </w:r>
  </w:p>
  <w:p w:rsidR="00176584" w:rsidRPr="00506BB0" w:rsidRDefault="00176584" w:rsidP="00176584">
    <w:pPr>
      <w:pStyle w:val="En-tte"/>
      <w:ind w:left="5664"/>
      <w:jc w:val="right"/>
      <w:rPr>
        <w:szCs w:val="20"/>
      </w:rPr>
    </w:pPr>
    <w:r w:rsidRPr="00506BB0">
      <w:rPr>
        <w:szCs w:val="20"/>
      </w:rPr>
      <w:t xml:space="preserve">Oral no 1 </w:t>
    </w:r>
  </w:p>
  <w:p w:rsidR="00176584" w:rsidRDefault="001765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0A51"/>
    <w:multiLevelType w:val="hybridMultilevel"/>
    <w:tmpl w:val="97A291C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09F5773"/>
    <w:multiLevelType w:val="hybridMultilevel"/>
    <w:tmpl w:val="5FB4DE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4984FBB"/>
    <w:multiLevelType w:val="hybridMultilevel"/>
    <w:tmpl w:val="F18407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1727E6"/>
    <w:multiLevelType w:val="hybridMultilevel"/>
    <w:tmpl w:val="DD907DB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22EA237C"/>
    <w:multiLevelType w:val="hybridMultilevel"/>
    <w:tmpl w:val="FE90782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85A4F20"/>
    <w:multiLevelType w:val="hybridMultilevel"/>
    <w:tmpl w:val="A6E2CEE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8742D00"/>
    <w:multiLevelType w:val="hybridMultilevel"/>
    <w:tmpl w:val="AA5E6742"/>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7" w15:restartNumberingAfterBreak="0">
    <w:nsid w:val="2CCE1094"/>
    <w:multiLevelType w:val="hybridMultilevel"/>
    <w:tmpl w:val="6CC0A0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1C0E63"/>
    <w:multiLevelType w:val="hybridMultilevel"/>
    <w:tmpl w:val="5BFE7F4A"/>
    <w:lvl w:ilvl="0" w:tplc="100C000F">
      <w:start w:val="1"/>
      <w:numFmt w:val="decimal"/>
      <w:lvlText w:val="%1."/>
      <w:lvlJc w:val="left"/>
      <w:pPr>
        <w:ind w:left="1068" w:hanging="360"/>
      </w:pPr>
      <w:rPr>
        <w:rFont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9" w15:restartNumberingAfterBreak="0">
    <w:nsid w:val="31CF7E82"/>
    <w:multiLevelType w:val="hybridMultilevel"/>
    <w:tmpl w:val="548032E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0" w15:restartNumberingAfterBreak="0">
    <w:nsid w:val="353B5285"/>
    <w:multiLevelType w:val="hybridMultilevel"/>
    <w:tmpl w:val="1D4C3B88"/>
    <w:lvl w:ilvl="0" w:tplc="100C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1" w15:restartNumberingAfterBreak="0">
    <w:nsid w:val="3D87234E"/>
    <w:multiLevelType w:val="hybridMultilevel"/>
    <w:tmpl w:val="538A6E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1B6265C"/>
    <w:multiLevelType w:val="hybridMultilevel"/>
    <w:tmpl w:val="9536CF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23823EA"/>
    <w:multiLevelType w:val="hybridMultilevel"/>
    <w:tmpl w:val="DDF6A81E"/>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4" w15:restartNumberingAfterBreak="0">
    <w:nsid w:val="446939D9"/>
    <w:multiLevelType w:val="hybridMultilevel"/>
    <w:tmpl w:val="FAA4F08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B1F2272"/>
    <w:multiLevelType w:val="hybridMultilevel"/>
    <w:tmpl w:val="513A7334"/>
    <w:lvl w:ilvl="0" w:tplc="100C000F">
      <w:start w:val="1"/>
      <w:numFmt w:val="decimal"/>
      <w:lvlText w:val="%1."/>
      <w:lvlJc w:val="left"/>
      <w:pPr>
        <w:ind w:left="1068" w:hanging="360"/>
      </w:pPr>
      <w:rPr>
        <w:rFont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6" w15:restartNumberingAfterBreak="0">
    <w:nsid w:val="4C692D7A"/>
    <w:multiLevelType w:val="hybridMultilevel"/>
    <w:tmpl w:val="D306050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210684C"/>
    <w:multiLevelType w:val="hybridMultilevel"/>
    <w:tmpl w:val="E4DED66E"/>
    <w:lvl w:ilvl="0" w:tplc="100C0001">
      <w:start w:val="1"/>
      <w:numFmt w:val="bullet"/>
      <w:lvlText w:val=""/>
      <w:lvlJc w:val="left"/>
      <w:pPr>
        <w:ind w:left="720" w:hanging="360"/>
      </w:pPr>
      <w:rPr>
        <w:rFonts w:ascii="Symbol" w:hAnsi="Symbol" w:hint="default"/>
      </w:rPr>
    </w:lvl>
    <w:lvl w:ilvl="1" w:tplc="100C000F">
      <w:start w:val="1"/>
      <w:numFmt w:val="decimal"/>
      <w:lvlText w:val="%2."/>
      <w:lvlJc w:val="lef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81D1439"/>
    <w:multiLevelType w:val="hybridMultilevel"/>
    <w:tmpl w:val="2B2485EC"/>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859063B"/>
    <w:multiLevelType w:val="hybridMultilevel"/>
    <w:tmpl w:val="107A5F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F3F4BE8"/>
    <w:multiLevelType w:val="hybridMultilevel"/>
    <w:tmpl w:val="862AA264"/>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7BA1DA5"/>
    <w:multiLevelType w:val="hybridMultilevel"/>
    <w:tmpl w:val="DDF6A81E"/>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2" w15:restartNumberingAfterBreak="0">
    <w:nsid w:val="695D66F4"/>
    <w:multiLevelType w:val="hybridMultilevel"/>
    <w:tmpl w:val="34644B1E"/>
    <w:lvl w:ilvl="0" w:tplc="B4AE134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AB3B38"/>
    <w:multiLevelType w:val="hybridMultilevel"/>
    <w:tmpl w:val="1D4C3B88"/>
    <w:lvl w:ilvl="0" w:tplc="100C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24" w15:restartNumberingAfterBreak="0">
    <w:nsid w:val="759D62EC"/>
    <w:multiLevelType w:val="hybridMultilevel"/>
    <w:tmpl w:val="A52ADEE4"/>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5" w15:restartNumberingAfterBreak="0">
    <w:nsid w:val="7C9951B6"/>
    <w:multiLevelType w:val="hybridMultilevel"/>
    <w:tmpl w:val="D5A6ED3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6" w15:restartNumberingAfterBreak="0">
    <w:nsid w:val="7E391A2F"/>
    <w:multiLevelType w:val="hybridMultilevel"/>
    <w:tmpl w:val="548032E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num w:numId="1">
    <w:abstractNumId w:val="19"/>
  </w:num>
  <w:num w:numId="2">
    <w:abstractNumId w:val="8"/>
  </w:num>
  <w:num w:numId="3">
    <w:abstractNumId w:val="20"/>
  </w:num>
  <w:num w:numId="4">
    <w:abstractNumId w:val="1"/>
  </w:num>
  <w:num w:numId="5">
    <w:abstractNumId w:val="11"/>
  </w:num>
  <w:num w:numId="6">
    <w:abstractNumId w:val="24"/>
  </w:num>
  <w:num w:numId="7">
    <w:abstractNumId w:val="15"/>
  </w:num>
  <w:num w:numId="8">
    <w:abstractNumId w:val="26"/>
  </w:num>
  <w:num w:numId="9">
    <w:abstractNumId w:val="9"/>
  </w:num>
  <w:num w:numId="10">
    <w:abstractNumId w:val="6"/>
  </w:num>
  <w:num w:numId="11">
    <w:abstractNumId w:val="13"/>
  </w:num>
  <w:num w:numId="12">
    <w:abstractNumId w:val="21"/>
  </w:num>
  <w:num w:numId="13">
    <w:abstractNumId w:val="23"/>
  </w:num>
  <w:num w:numId="14">
    <w:abstractNumId w:val="10"/>
  </w:num>
  <w:num w:numId="15">
    <w:abstractNumId w:val="4"/>
  </w:num>
  <w:num w:numId="16">
    <w:abstractNumId w:val="0"/>
  </w:num>
  <w:num w:numId="17">
    <w:abstractNumId w:val="18"/>
  </w:num>
  <w:num w:numId="18">
    <w:abstractNumId w:val="3"/>
  </w:num>
  <w:num w:numId="19">
    <w:abstractNumId w:val="25"/>
  </w:num>
  <w:num w:numId="20">
    <w:abstractNumId w:val="14"/>
  </w:num>
  <w:num w:numId="21">
    <w:abstractNumId w:val="17"/>
  </w:num>
  <w:num w:numId="22">
    <w:abstractNumId w:val="16"/>
  </w:num>
  <w:num w:numId="23">
    <w:abstractNumId w:val="12"/>
  </w:num>
  <w:num w:numId="24">
    <w:abstractNumId w:val="7"/>
  </w:num>
  <w:num w:numId="25">
    <w:abstractNumId w:val="22"/>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B3"/>
    <w:rsid w:val="00042489"/>
    <w:rsid w:val="00073678"/>
    <w:rsid w:val="000D603A"/>
    <w:rsid w:val="000E2FBE"/>
    <w:rsid w:val="0011362F"/>
    <w:rsid w:val="001155B1"/>
    <w:rsid w:val="00115B26"/>
    <w:rsid w:val="00116E3A"/>
    <w:rsid w:val="001445B0"/>
    <w:rsid w:val="0016595D"/>
    <w:rsid w:val="00176584"/>
    <w:rsid w:val="001E7A94"/>
    <w:rsid w:val="001F611B"/>
    <w:rsid w:val="00227759"/>
    <w:rsid w:val="00295E60"/>
    <w:rsid w:val="0030477F"/>
    <w:rsid w:val="003718B0"/>
    <w:rsid w:val="003972D1"/>
    <w:rsid w:val="003C49BE"/>
    <w:rsid w:val="00412F51"/>
    <w:rsid w:val="00442E53"/>
    <w:rsid w:val="00455A27"/>
    <w:rsid w:val="004761FA"/>
    <w:rsid w:val="004E209D"/>
    <w:rsid w:val="0063533F"/>
    <w:rsid w:val="006C6D5E"/>
    <w:rsid w:val="006D2459"/>
    <w:rsid w:val="006D78E4"/>
    <w:rsid w:val="007124DE"/>
    <w:rsid w:val="0071469D"/>
    <w:rsid w:val="00740F85"/>
    <w:rsid w:val="007E7823"/>
    <w:rsid w:val="0086270F"/>
    <w:rsid w:val="008B79BE"/>
    <w:rsid w:val="008F7BBF"/>
    <w:rsid w:val="00910B54"/>
    <w:rsid w:val="009139BB"/>
    <w:rsid w:val="009208CC"/>
    <w:rsid w:val="00926233"/>
    <w:rsid w:val="00936A91"/>
    <w:rsid w:val="009434B3"/>
    <w:rsid w:val="009778BD"/>
    <w:rsid w:val="009A4B64"/>
    <w:rsid w:val="009D15F0"/>
    <w:rsid w:val="009F4089"/>
    <w:rsid w:val="00A2423D"/>
    <w:rsid w:val="00A269C9"/>
    <w:rsid w:val="00A44C12"/>
    <w:rsid w:val="00A55A98"/>
    <w:rsid w:val="00A61BAB"/>
    <w:rsid w:val="00A76FEE"/>
    <w:rsid w:val="00AB2110"/>
    <w:rsid w:val="00AE3779"/>
    <w:rsid w:val="00B32A63"/>
    <w:rsid w:val="00B371E6"/>
    <w:rsid w:val="00B65F16"/>
    <w:rsid w:val="00B832A7"/>
    <w:rsid w:val="00B950E5"/>
    <w:rsid w:val="00BF7D92"/>
    <w:rsid w:val="00C32C89"/>
    <w:rsid w:val="00C54A29"/>
    <w:rsid w:val="00CA0D17"/>
    <w:rsid w:val="00CB480F"/>
    <w:rsid w:val="00CB4B5F"/>
    <w:rsid w:val="00D03DF3"/>
    <w:rsid w:val="00D213EE"/>
    <w:rsid w:val="00D71B0D"/>
    <w:rsid w:val="00D83345"/>
    <w:rsid w:val="00DA6E15"/>
    <w:rsid w:val="00DB3534"/>
    <w:rsid w:val="00DC40ED"/>
    <w:rsid w:val="00DE483C"/>
    <w:rsid w:val="00FB2898"/>
    <w:rsid w:val="00FE636B"/>
    <w:rsid w:val="00FF19C0"/>
    <w:rsid w:val="00FF31E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786F"/>
  <w15:docId w15:val="{2AC75B14-A420-AC41-ADA3-92D4368A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83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434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A269C9"/>
    <w:pPr>
      <w:spacing w:after="200" w:line="276" w:lineRule="auto"/>
      <w:ind w:left="720"/>
      <w:contextualSpacing/>
    </w:pPr>
    <w:rPr>
      <w:rFonts w:asciiTheme="minorHAnsi" w:eastAsiaTheme="minorHAnsi" w:hAnsiTheme="minorHAnsi" w:cstheme="minorBidi"/>
      <w:sz w:val="22"/>
      <w:szCs w:val="22"/>
      <w:lang w:eastAsia="en-US"/>
    </w:rPr>
  </w:style>
  <w:style w:type="paragraph" w:styleId="Notedebasdepage">
    <w:name w:val="footnote text"/>
    <w:basedOn w:val="Normal"/>
    <w:link w:val="NotedebasdepageCar"/>
    <w:uiPriority w:val="99"/>
    <w:semiHidden/>
    <w:unhideWhenUsed/>
    <w:rsid w:val="00412F51"/>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412F51"/>
    <w:rPr>
      <w:sz w:val="20"/>
      <w:szCs w:val="20"/>
    </w:rPr>
  </w:style>
  <w:style w:type="character" w:styleId="Appelnotedebasdep">
    <w:name w:val="footnote reference"/>
    <w:basedOn w:val="Policepardfaut"/>
    <w:uiPriority w:val="99"/>
    <w:semiHidden/>
    <w:unhideWhenUsed/>
    <w:rsid w:val="00412F51"/>
    <w:rPr>
      <w:vertAlign w:val="superscript"/>
    </w:rPr>
  </w:style>
  <w:style w:type="character" w:styleId="Lienhypertexte">
    <w:name w:val="Hyperlink"/>
    <w:basedOn w:val="Policepardfaut"/>
    <w:uiPriority w:val="99"/>
    <w:unhideWhenUsed/>
    <w:rsid w:val="00412F51"/>
    <w:rPr>
      <w:color w:val="0000FF" w:themeColor="hyperlink"/>
      <w:u w:val="single"/>
    </w:rPr>
  </w:style>
  <w:style w:type="paragraph" w:styleId="En-tte">
    <w:name w:val="header"/>
    <w:basedOn w:val="Normal"/>
    <w:link w:val="En-tteCar"/>
    <w:uiPriority w:val="99"/>
    <w:unhideWhenUsed/>
    <w:rsid w:val="00176584"/>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76584"/>
  </w:style>
  <w:style w:type="paragraph" w:styleId="Pieddepage">
    <w:name w:val="footer"/>
    <w:basedOn w:val="Normal"/>
    <w:link w:val="PieddepageCar"/>
    <w:uiPriority w:val="99"/>
    <w:unhideWhenUsed/>
    <w:rsid w:val="0017658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76584"/>
  </w:style>
  <w:style w:type="paragraph" w:styleId="NormalWeb">
    <w:name w:val="Normal (Web)"/>
    <w:basedOn w:val="Normal"/>
    <w:uiPriority w:val="99"/>
    <w:semiHidden/>
    <w:unhideWhenUsed/>
    <w:rsid w:val="009778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10861">
      <w:bodyDiv w:val="1"/>
      <w:marLeft w:val="0"/>
      <w:marRight w:val="0"/>
      <w:marTop w:val="0"/>
      <w:marBottom w:val="0"/>
      <w:divBdr>
        <w:top w:val="none" w:sz="0" w:space="0" w:color="auto"/>
        <w:left w:val="none" w:sz="0" w:space="0" w:color="auto"/>
        <w:bottom w:val="none" w:sz="0" w:space="0" w:color="auto"/>
        <w:right w:val="none" w:sz="0" w:space="0" w:color="auto"/>
      </w:divBdr>
    </w:div>
    <w:div w:id="291446579">
      <w:bodyDiv w:val="1"/>
      <w:marLeft w:val="0"/>
      <w:marRight w:val="0"/>
      <w:marTop w:val="0"/>
      <w:marBottom w:val="0"/>
      <w:divBdr>
        <w:top w:val="none" w:sz="0" w:space="0" w:color="auto"/>
        <w:left w:val="none" w:sz="0" w:space="0" w:color="auto"/>
        <w:bottom w:val="none" w:sz="0" w:space="0" w:color="auto"/>
        <w:right w:val="none" w:sz="0" w:space="0" w:color="auto"/>
      </w:divBdr>
    </w:div>
    <w:div w:id="482740808">
      <w:bodyDiv w:val="1"/>
      <w:marLeft w:val="0"/>
      <w:marRight w:val="0"/>
      <w:marTop w:val="0"/>
      <w:marBottom w:val="0"/>
      <w:divBdr>
        <w:top w:val="none" w:sz="0" w:space="0" w:color="auto"/>
        <w:left w:val="none" w:sz="0" w:space="0" w:color="auto"/>
        <w:bottom w:val="none" w:sz="0" w:space="0" w:color="auto"/>
        <w:right w:val="none" w:sz="0" w:space="0" w:color="auto"/>
      </w:divBdr>
    </w:div>
    <w:div w:id="850341386">
      <w:bodyDiv w:val="1"/>
      <w:marLeft w:val="0"/>
      <w:marRight w:val="0"/>
      <w:marTop w:val="0"/>
      <w:marBottom w:val="0"/>
      <w:divBdr>
        <w:top w:val="none" w:sz="0" w:space="0" w:color="auto"/>
        <w:left w:val="none" w:sz="0" w:space="0" w:color="auto"/>
        <w:bottom w:val="none" w:sz="0" w:space="0" w:color="auto"/>
        <w:right w:val="none" w:sz="0" w:space="0" w:color="auto"/>
      </w:divBdr>
    </w:div>
    <w:div w:id="1355576595">
      <w:bodyDiv w:val="1"/>
      <w:marLeft w:val="0"/>
      <w:marRight w:val="0"/>
      <w:marTop w:val="0"/>
      <w:marBottom w:val="0"/>
      <w:divBdr>
        <w:top w:val="none" w:sz="0" w:space="0" w:color="auto"/>
        <w:left w:val="none" w:sz="0" w:space="0" w:color="auto"/>
        <w:bottom w:val="none" w:sz="0" w:space="0" w:color="auto"/>
        <w:right w:val="none" w:sz="0" w:space="0" w:color="auto"/>
      </w:divBdr>
      <w:divsChild>
        <w:div w:id="2079742397">
          <w:marLeft w:val="0"/>
          <w:marRight w:val="0"/>
          <w:marTop w:val="0"/>
          <w:marBottom w:val="0"/>
          <w:divBdr>
            <w:top w:val="none" w:sz="0" w:space="0" w:color="auto"/>
            <w:left w:val="none" w:sz="0" w:space="0" w:color="auto"/>
            <w:bottom w:val="none" w:sz="0" w:space="0" w:color="auto"/>
            <w:right w:val="none" w:sz="0" w:space="0" w:color="auto"/>
          </w:divBdr>
        </w:div>
      </w:divsChild>
    </w:div>
    <w:div w:id="1735276870">
      <w:bodyDiv w:val="1"/>
      <w:marLeft w:val="0"/>
      <w:marRight w:val="0"/>
      <w:marTop w:val="0"/>
      <w:marBottom w:val="0"/>
      <w:divBdr>
        <w:top w:val="none" w:sz="0" w:space="0" w:color="auto"/>
        <w:left w:val="none" w:sz="0" w:space="0" w:color="auto"/>
        <w:bottom w:val="none" w:sz="0" w:space="0" w:color="auto"/>
        <w:right w:val="none" w:sz="0" w:space="0" w:color="auto"/>
      </w:divBdr>
    </w:div>
    <w:div w:id="194341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15D15808-A6E0-6B44-B459-0432322CFABB}">
  <ds:schemaRefs>
    <ds:schemaRef ds:uri="http://schemas.openxmlformats.org/officeDocument/2006/bibliography"/>
  </ds:schemaRefs>
</ds:datastoreItem>
</file>

<file path=customXml/itemProps2.xml><?xml version="1.0" encoding="utf-8"?>
<ds:datastoreItem xmlns:ds="http://schemas.openxmlformats.org/officeDocument/2006/customXml" ds:itemID="{899DF37C-3A19-4019-A2E9-7119AEF787BF}"/>
</file>

<file path=customXml/itemProps3.xml><?xml version="1.0" encoding="utf-8"?>
<ds:datastoreItem xmlns:ds="http://schemas.openxmlformats.org/officeDocument/2006/customXml" ds:itemID="{2E486686-057E-479D-9424-F3FAE2342800}"/>
</file>

<file path=customXml/itemProps4.xml><?xml version="1.0" encoding="utf-8"?>
<ds:datastoreItem xmlns:ds="http://schemas.openxmlformats.org/officeDocument/2006/customXml" ds:itemID="{F97267C5-79F4-4077-A7C1-8038D5AE075D}"/>
</file>

<file path=docProps/app.xml><?xml version="1.0" encoding="utf-8"?>
<Properties xmlns="http://schemas.openxmlformats.org/officeDocument/2006/extended-properties" xmlns:vt="http://schemas.openxmlformats.org/officeDocument/2006/docPropsVTypes">
  <Template>Normal.dotm</Template>
  <TotalTime>75</TotalTime>
  <Pages>3</Pages>
  <Words>1040</Words>
  <Characters>5723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Zeller-Ramseyer Christine</dc:creator>
  <cp:lastModifiedBy>Haunreiter Katja</cp:lastModifiedBy>
  <cp:revision>24</cp:revision>
  <dcterms:created xsi:type="dcterms:W3CDTF">2020-12-30T22:15:00Z</dcterms:created>
  <dcterms:modified xsi:type="dcterms:W3CDTF">2021-01-07T19:34:00Z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