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08963427"/>
        <w:docPartObj>
          <w:docPartGallery w:val="Cover Pages"/>
          <w:docPartUnique/>
        </w:docPartObj>
      </w:sdtPr>
      <w:sdtEndPr/>
      <w:sdtContent>
        <w:p w14:paraId="5ECFAECB" w14:textId="77777777" w:rsidR="00E4742B" w:rsidRDefault="00E4742B"/>
        <w:tbl>
          <w:tblPr>
            <w:tblpPr w:leftFromText="187" w:rightFromText="187" w:horzAnchor="margin" w:tblpXSpec="center" w:tblpY="2881"/>
            <w:tblW w:w="4000" w:type="pct"/>
            <w:tblBorders>
              <w:left w:val="single" w:sz="12" w:space="0" w:color="002060"/>
            </w:tblBorders>
            <w:tblCellMar>
              <w:left w:w="144" w:type="dxa"/>
              <w:right w:w="115" w:type="dxa"/>
            </w:tblCellMar>
            <w:tblLook w:val="04A0" w:firstRow="1" w:lastRow="0" w:firstColumn="1" w:lastColumn="0" w:noHBand="0" w:noVBand="1"/>
          </w:tblPr>
          <w:tblGrid>
            <w:gridCol w:w="7698"/>
          </w:tblGrid>
          <w:tr w:rsidR="00E4742B" w14:paraId="7E3CE88A" w14:textId="77777777" w:rsidTr="00EF12C4">
            <w:tc>
              <w:tcPr>
                <w:tcW w:w="7672" w:type="dxa"/>
                <w:tcMar>
                  <w:top w:w="216" w:type="dxa"/>
                  <w:left w:w="115" w:type="dxa"/>
                  <w:bottom w:w="216" w:type="dxa"/>
                  <w:right w:w="115" w:type="dxa"/>
                </w:tcMar>
              </w:tcPr>
              <w:p w14:paraId="60718660" w14:textId="77777777" w:rsidR="00E4742B" w:rsidRDefault="00E4742B">
                <w:pPr>
                  <w:pStyle w:val="Sansinterligne"/>
                  <w:rPr>
                    <w:color w:val="6B911C" w:themeColor="accent1" w:themeShade="BF"/>
                    <w:sz w:val="24"/>
                  </w:rPr>
                </w:pPr>
              </w:p>
            </w:tc>
          </w:tr>
          <w:tr w:rsidR="00E4742B" w14:paraId="2080F2CE" w14:textId="77777777" w:rsidTr="00EF12C4">
            <w:tc>
              <w:tcPr>
                <w:tcW w:w="7672" w:type="dxa"/>
              </w:tcPr>
              <w:p w14:paraId="01B1E3E8" w14:textId="5EA1539B" w:rsidR="00E4742B" w:rsidRPr="00EF12C4" w:rsidRDefault="00540ACB">
                <w:pPr>
                  <w:pStyle w:val="Sansinterligne"/>
                  <w:spacing w:line="216" w:lineRule="auto"/>
                  <w:rPr>
                    <w:rFonts w:ascii="Arial" w:eastAsiaTheme="majorEastAsia" w:hAnsi="Arial" w:cs="Arial"/>
                    <w:color w:val="002060"/>
                    <w:sz w:val="88"/>
                    <w:szCs w:val="88"/>
                  </w:rPr>
                </w:pPr>
                <w:r w:rsidRPr="00EF12C4">
                  <w:rPr>
                    <w:rFonts w:ascii="Arial" w:eastAsiaTheme="majorEastAsia" w:hAnsi="Arial" w:cs="Arial"/>
                    <w:color w:val="002060"/>
                    <w:sz w:val="88"/>
                    <w:szCs w:val="88"/>
                  </w:rPr>
                  <w:t>Cas pr</w:t>
                </w:r>
                <w:r w:rsidR="00AB7BF7" w:rsidRPr="00EF12C4">
                  <w:rPr>
                    <w:rFonts w:ascii="Arial" w:eastAsiaTheme="majorEastAsia" w:hAnsi="Arial" w:cs="Arial"/>
                    <w:color w:val="002060"/>
                    <w:sz w:val="88"/>
                    <w:szCs w:val="88"/>
                  </w:rPr>
                  <w:t>atique RC</w:t>
                </w:r>
              </w:p>
            </w:tc>
          </w:tr>
          <w:tr w:rsidR="00E4742B" w14:paraId="3AEDAA4B" w14:textId="77777777" w:rsidTr="00EF12C4">
            <w:sdt>
              <w:sdtPr>
                <w:rPr>
                  <w:rFonts w:ascii="Arial" w:hAnsi="Arial" w:cs="Arial"/>
                  <w:color w:val="002060"/>
                  <w:sz w:val="24"/>
                  <w:szCs w:val="24"/>
                </w:rPr>
                <w:alias w:val="Sous-titre"/>
                <w:id w:val="13406923"/>
                <w:placeholder>
                  <w:docPart w:val="C1DBD305C83B4EA1A4E64EA082DBA8AC"/>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0DEF932C" w14:textId="4CD145E6" w:rsidR="00E4742B" w:rsidRPr="00EF12C4" w:rsidRDefault="00036700">
                    <w:pPr>
                      <w:pStyle w:val="Sansinterligne"/>
                      <w:rPr>
                        <w:rFonts w:ascii="Arial" w:hAnsi="Arial" w:cs="Arial"/>
                        <w:color w:val="002060"/>
                        <w:sz w:val="24"/>
                      </w:rPr>
                    </w:pPr>
                    <w:r w:rsidRPr="00EF12C4">
                      <w:rPr>
                        <w:rFonts w:ascii="Arial" w:hAnsi="Arial" w:cs="Arial"/>
                        <w:color w:val="002060"/>
                        <w:sz w:val="24"/>
                        <w:szCs w:val="24"/>
                      </w:rPr>
                      <w:t>Enoncés avec analyse &amp; réponses</w:t>
                    </w:r>
                  </w:p>
                </w:tc>
              </w:sdtContent>
            </w:sdt>
          </w:tr>
        </w:tbl>
        <w:tbl>
          <w:tblPr>
            <w:tblpPr w:leftFromText="187" w:rightFromText="187" w:horzAnchor="margin" w:tblpXSpec="center" w:tblpYSpec="bottom"/>
            <w:tblW w:w="4706" w:type="pct"/>
            <w:tblLook w:val="04A0" w:firstRow="1" w:lastRow="0" w:firstColumn="1" w:lastColumn="0" w:noHBand="0" w:noVBand="1"/>
          </w:tblPr>
          <w:tblGrid>
            <w:gridCol w:w="9071"/>
          </w:tblGrid>
          <w:tr w:rsidR="00E4742B" w14:paraId="2674C7D1" w14:textId="77777777" w:rsidTr="00E4742B">
            <w:tc>
              <w:tcPr>
                <w:tcW w:w="9072" w:type="dxa"/>
                <w:tcMar>
                  <w:top w:w="216" w:type="dxa"/>
                  <w:left w:w="115" w:type="dxa"/>
                  <w:bottom w:w="216" w:type="dxa"/>
                  <w:right w:w="115" w:type="dxa"/>
                </w:tcMar>
              </w:tcPr>
              <w:sdt>
                <w:sdtPr>
                  <w:rPr>
                    <w:rFonts w:ascii="Arial" w:hAnsi="Arial" w:cs="Arial"/>
                    <w:b/>
                    <w:bCs/>
                    <w:color w:val="90C226" w:themeColor="accent1"/>
                  </w:rPr>
                  <w:alias w:val="Auteur"/>
                  <w:id w:val="13406928"/>
                  <w:placeholder>
                    <w:docPart w:val="D378ED89BA084BBBB46D6322D845C3E3"/>
                  </w:placeholder>
                  <w:dataBinding w:prefixMappings="xmlns:ns0='http://schemas.openxmlformats.org/package/2006/metadata/core-properties' xmlns:ns1='http://purl.org/dc/elements/1.1/'" w:xpath="/ns0:coreProperties[1]/ns1:creator[1]" w:storeItemID="{6C3C8BC8-F283-45AE-878A-BAB7291924A1}"/>
                  <w:text/>
                </w:sdtPr>
                <w:sdtEndPr/>
                <w:sdtContent>
                  <w:p w14:paraId="4AAAD8A3" w14:textId="77777777" w:rsidR="00E4742B" w:rsidRDefault="008779B7">
                    <w:pPr>
                      <w:pStyle w:val="Sansinterligne"/>
                      <w:rPr>
                        <w:color w:val="90C226" w:themeColor="accent1"/>
                        <w:sz w:val="28"/>
                        <w:szCs w:val="28"/>
                      </w:rPr>
                    </w:pPr>
                    <w:r>
                      <w:rPr>
                        <w:rFonts w:ascii="Arial" w:hAnsi="Arial" w:cs="Arial"/>
                        <w:b/>
                        <w:bCs/>
                        <w:color w:val="90C226" w:themeColor="accent1"/>
                      </w:rPr>
                      <w:t>Laurence Petoud</w:t>
                    </w:r>
                  </w:p>
                </w:sdtContent>
              </w:sdt>
              <w:sdt>
                <w:sdtPr>
                  <w:rPr>
                    <w:color w:val="90C226" w:themeColor="accent1"/>
                    <w:sz w:val="28"/>
                    <w:szCs w:val="28"/>
                  </w:rPr>
                  <w:alias w:val="Date"/>
                  <w:tag w:val="Date "/>
                  <w:id w:val="13406932"/>
                  <w:placeholder>
                    <w:docPart w:val="140F377AB5A144B2BFC8F302FBB12FB8"/>
                  </w:placeholder>
                  <w:dataBinding w:prefixMappings="xmlns:ns0='http://schemas.microsoft.com/office/2006/coverPageProps'" w:xpath="/ns0:CoverPageProperties[1]/ns0:PublishDate[1]" w:storeItemID="{55AF091B-3C7A-41E3-B477-F2FDAA23CFDA}"/>
                  <w:date w:fullDate="2025-05-03T00:00:00Z">
                    <w:dateFormat w:val="dd/MM/yyyy"/>
                    <w:lid w:val="fr-FR"/>
                    <w:storeMappedDataAs w:val="dateTime"/>
                    <w:calendar w:val="gregorian"/>
                  </w:date>
                </w:sdtPr>
                <w:sdtEndPr/>
                <w:sdtContent>
                  <w:p w14:paraId="1745B371" w14:textId="77777777" w:rsidR="00E4742B" w:rsidRDefault="00E4742B">
                    <w:pPr>
                      <w:pStyle w:val="Sansinterligne"/>
                      <w:rPr>
                        <w:color w:val="90C226" w:themeColor="accent1"/>
                        <w:sz w:val="28"/>
                        <w:szCs w:val="28"/>
                      </w:rPr>
                    </w:pPr>
                    <w:r>
                      <w:rPr>
                        <w:color w:val="90C226" w:themeColor="accent1"/>
                        <w:sz w:val="28"/>
                        <w:szCs w:val="28"/>
                        <w:lang w:val="fr-FR"/>
                      </w:rPr>
                      <w:t>03/05/2025</w:t>
                    </w:r>
                  </w:p>
                </w:sdtContent>
              </w:sdt>
              <w:p w14:paraId="6801C1CD" w14:textId="77777777" w:rsidR="00E4742B" w:rsidRDefault="00E4742B">
                <w:pPr>
                  <w:pStyle w:val="Sansinterligne"/>
                  <w:rPr>
                    <w:color w:val="90C226" w:themeColor="accent1"/>
                  </w:rPr>
                </w:pPr>
              </w:p>
            </w:tc>
          </w:tr>
        </w:tbl>
        <w:p w14:paraId="69225771" w14:textId="77777777" w:rsidR="00E4742B" w:rsidRDefault="00E4742B">
          <w:r>
            <w:rPr>
              <w:noProof/>
            </w:rPr>
            <w:drawing>
              <wp:anchor distT="0" distB="0" distL="114300" distR="114300" simplePos="0" relativeHeight="251659264" behindDoc="0" locked="0" layoutInCell="1" allowOverlap="1" wp14:anchorId="427BAD8D" wp14:editId="1DBDD749">
                <wp:simplePos x="0" y="0"/>
                <wp:positionH relativeFrom="column">
                  <wp:posOffset>1540510</wp:posOffset>
                </wp:positionH>
                <wp:positionV relativeFrom="paragraph">
                  <wp:posOffset>4334510</wp:posOffset>
                </wp:positionV>
                <wp:extent cx="2184400" cy="2184400"/>
                <wp:effectExtent l="0" t="0" r="6350" b="6350"/>
                <wp:wrapNone/>
                <wp:docPr id="1467234037" name="Image 2" descr="Une image contenant croquis, Visage humain, personn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34037" name="Image 2" descr="Une image contenant croquis, Visage humain, personne, habits&#10;&#10;Le contenu généré par l’IA peut être incorrect."/>
                        <pic:cNvPicPr/>
                      </pic:nvPicPr>
                      <pic:blipFill>
                        <a:blip r:embed="rId9"/>
                        <a:stretch>
                          <a:fillRect/>
                        </a:stretch>
                      </pic:blipFill>
                      <pic:spPr>
                        <a:xfrm>
                          <a:off x="0" y="0"/>
                          <a:ext cx="2184400" cy="21844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658184EE" w14:textId="77777777" w:rsidR="002E02D3" w:rsidRDefault="002E02D3"/>
    <w:p w14:paraId="34D59A78" w14:textId="77777777" w:rsidR="00E4742B" w:rsidRPr="00AD6B9D" w:rsidRDefault="00AD6B9D">
      <w:pPr>
        <w:rPr>
          <w:rFonts w:ascii="Arial" w:hAnsi="Arial" w:cs="Arial"/>
          <w:b/>
          <w:bCs/>
          <w:color w:val="53717F" w:themeColor="text2" w:themeTint="BF"/>
        </w:rPr>
      </w:pPr>
      <w:r w:rsidRPr="00AD6B9D">
        <w:rPr>
          <w:rFonts w:ascii="Arial" w:hAnsi="Arial" w:cs="Arial"/>
          <w:b/>
          <w:bCs/>
          <w:color w:val="53717F" w:themeColor="text2" w:themeTint="BF"/>
        </w:rPr>
        <w:t>INTRODUCTION</w:t>
      </w:r>
    </w:p>
    <w:p w14:paraId="0193B8AD" w14:textId="77777777" w:rsidR="00CE58FA" w:rsidRDefault="00CE58FA" w:rsidP="00CE58FA">
      <w:pPr>
        <w:rPr>
          <w:b/>
          <w:bCs/>
        </w:rPr>
      </w:pPr>
    </w:p>
    <w:p w14:paraId="1B20787A" w14:textId="77777777" w:rsidR="00CE58FA" w:rsidRPr="00CE58FA" w:rsidRDefault="00CE58FA" w:rsidP="00CE58FA">
      <w:r w:rsidRPr="00CE58FA">
        <w:rPr>
          <w:b/>
          <w:bCs/>
        </w:rPr>
        <w:t>Bienvenue dans votre univers de perfectionnement et de défis !</w:t>
      </w:r>
      <w:r w:rsidRPr="00CE58FA">
        <w:t xml:space="preserve"> </w:t>
      </w:r>
    </w:p>
    <w:p w14:paraId="47BA9991" w14:textId="77777777" w:rsidR="00607855" w:rsidRDefault="00607855" w:rsidP="00607855">
      <w:r w:rsidRPr="00607855">
        <w:rPr>
          <w:b/>
          <w:bCs/>
        </w:rPr>
        <w:t>Découvrez une ressource complète et interactive sur le droit médical et les droits des patients</w:t>
      </w:r>
      <w:r w:rsidRPr="00607855">
        <w:t xml:space="preserve"> </w:t>
      </w:r>
    </w:p>
    <w:p w14:paraId="5CA22C53" w14:textId="77777777" w:rsidR="00607855" w:rsidRPr="00607855" w:rsidRDefault="00607855" w:rsidP="00607855">
      <w:pPr>
        <w:jc w:val="both"/>
      </w:pPr>
      <w:r w:rsidRPr="00607855">
        <w:t>Que vous soyez étudiant, professionnel de santé ou simplement curieux d’en savoir plus sur le droit des patients, cette banque de documents vous accompagne à chaque étape de votre apprentissage et de votre perfectionnement.</w:t>
      </w:r>
    </w:p>
    <w:p w14:paraId="548B49D0" w14:textId="77777777" w:rsidR="00607855" w:rsidRDefault="00607855" w:rsidP="00607855">
      <w:r w:rsidRPr="00607855">
        <w:t xml:space="preserve">Accédez à une diversité de formats pédagogiques adaptés à tous les niveaux : </w:t>
      </w:r>
    </w:p>
    <w:p w14:paraId="7E9B8C59" w14:textId="77777777" w:rsidR="00607855" w:rsidRDefault="00607855" w:rsidP="00607855">
      <w:r w:rsidRPr="00607855">
        <w:rPr>
          <w:rFonts w:ascii="Segoe UI Symbol" w:hAnsi="Segoe UI Symbol" w:cs="Segoe UI Symbol"/>
        </w:rPr>
        <w:t>✔</w:t>
      </w:r>
      <w:r w:rsidRPr="00607855">
        <w:t xml:space="preserve"> </w:t>
      </w:r>
      <w:r w:rsidRPr="00607855">
        <w:rPr>
          <w:b/>
          <w:bCs/>
        </w:rPr>
        <w:t>Quizz et QCM</w:t>
      </w:r>
      <w:r w:rsidRPr="00607855">
        <w:t xml:space="preserve"> progressifs pour tester vos connaissances </w:t>
      </w:r>
    </w:p>
    <w:p w14:paraId="30641FBB" w14:textId="77777777" w:rsidR="00607855" w:rsidRDefault="00607855" w:rsidP="00607855">
      <w:r w:rsidRPr="00607855">
        <w:rPr>
          <w:rFonts w:ascii="Segoe UI Symbol" w:hAnsi="Segoe UI Symbol" w:cs="Segoe UI Symbol"/>
        </w:rPr>
        <w:t>✔</w:t>
      </w:r>
      <w:r w:rsidRPr="00607855">
        <w:t xml:space="preserve"> </w:t>
      </w:r>
      <w:r w:rsidRPr="00607855">
        <w:rPr>
          <w:b/>
          <w:bCs/>
        </w:rPr>
        <w:t>Cas pratiques</w:t>
      </w:r>
      <w:r w:rsidRPr="00607855">
        <w:t xml:space="preserve"> avec et sans analyse pour affiner votre raisonnement juridique </w:t>
      </w:r>
    </w:p>
    <w:p w14:paraId="0C2203E8" w14:textId="77777777" w:rsidR="00607855" w:rsidRDefault="00607855" w:rsidP="00607855">
      <w:r w:rsidRPr="00607855">
        <w:rPr>
          <w:rFonts w:ascii="Segoe UI Symbol" w:hAnsi="Segoe UI Symbol" w:cs="Segoe UI Symbol"/>
        </w:rPr>
        <w:t>✔</w:t>
      </w:r>
      <w:r w:rsidRPr="00607855">
        <w:t xml:space="preserve"> </w:t>
      </w:r>
      <w:r w:rsidRPr="00607855">
        <w:rPr>
          <w:b/>
          <w:bCs/>
        </w:rPr>
        <w:t>Fiches pratiques</w:t>
      </w:r>
      <w:r w:rsidRPr="00607855">
        <w:t xml:space="preserve"> claires et synthétiques pour une compréhension rapide </w:t>
      </w:r>
    </w:p>
    <w:p w14:paraId="0FFC8CE3" w14:textId="77777777" w:rsidR="00607855" w:rsidRDefault="00607855" w:rsidP="00607855">
      <w:r w:rsidRPr="00607855">
        <w:rPr>
          <w:rFonts w:ascii="Segoe UI Symbol" w:hAnsi="Segoe UI Symbol" w:cs="Segoe UI Symbol"/>
        </w:rPr>
        <w:t>✔</w:t>
      </w:r>
      <w:r w:rsidRPr="00607855">
        <w:t xml:space="preserve"> </w:t>
      </w:r>
      <w:r w:rsidRPr="00607855">
        <w:rPr>
          <w:b/>
          <w:bCs/>
        </w:rPr>
        <w:t xml:space="preserve">Cartes mentales et flash </w:t>
      </w:r>
      <w:proofErr w:type="spellStart"/>
      <w:r w:rsidRPr="00607855">
        <w:rPr>
          <w:b/>
          <w:bCs/>
        </w:rPr>
        <w:t>cards</w:t>
      </w:r>
      <w:proofErr w:type="spellEnd"/>
      <w:r w:rsidRPr="00607855">
        <w:t xml:space="preserve"> pour mémoriser efficacement les notions clés </w:t>
      </w:r>
    </w:p>
    <w:p w14:paraId="66B59D61" w14:textId="77777777" w:rsidR="00607855" w:rsidRPr="00607855" w:rsidRDefault="00607855" w:rsidP="00607855">
      <w:pPr>
        <w:ind w:left="142" w:hanging="142"/>
      </w:pPr>
      <w:r w:rsidRPr="00607855">
        <w:rPr>
          <w:rFonts w:ascii="Segoe UI Symbol" w:hAnsi="Segoe UI Symbol" w:cs="Segoe UI Symbol"/>
        </w:rPr>
        <w:t>✔</w:t>
      </w:r>
      <w:r w:rsidRPr="00607855">
        <w:t xml:space="preserve"> </w:t>
      </w:r>
      <w:r w:rsidRPr="00607855">
        <w:rPr>
          <w:b/>
          <w:bCs/>
        </w:rPr>
        <w:t>Notes de cours enrichies</w:t>
      </w:r>
      <w:r w:rsidRPr="00607855">
        <w:t xml:space="preserve"> tirées d’une préparation approfondie au CAS en droit des patients et de la santé publique</w:t>
      </w:r>
    </w:p>
    <w:p w14:paraId="606385ED" w14:textId="77777777" w:rsidR="00607855" w:rsidRPr="00607855" w:rsidRDefault="00607855" w:rsidP="00607855">
      <w:pPr>
        <w:jc w:val="both"/>
      </w:pPr>
      <w:r w:rsidRPr="00607855">
        <w:t>Pensé pour allier théorie et mise en application, cet ensemble vous offre un outil précieux dans votre démarche d’apprentissage et dans votre pratique professionnelle.</w:t>
      </w:r>
    </w:p>
    <w:p w14:paraId="6515C051" w14:textId="77777777" w:rsidR="00607855" w:rsidRPr="00607855" w:rsidRDefault="00607855" w:rsidP="00607855">
      <w:pPr>
        <w:ind w:left="426" w:hanging="426"/>
        <w:jc w:val="both"/>
      </w:pPr>
      <w:r w:rsidRPr="00607855">
        <w:rPr>
          <w:rFonts w:ascii="Segoe UI Emoji" w:hAnsi="Segoe UI Emoji" w:cs="Segoe UI Emoji"/>
        </w:rPr>
        <w:t>🔍</w:t>
      </w:r>
      <w:r w:rsidRPr="00607855">
        <w:t xml:space="preserve"> Transformez votre approche du droit médical grâce à une méthode structurée, dynamique et interactive !</w:t>
      </w:r>
    </w:p>
    <w:p w14:paraId="0E7FE0DC" w14:textId="77777777" w:rsidR="00CE58FA" w:rsidRPr="00CE58FA" w:rsidRDefault="00CE58FA" w:rsidP="00CE58FA">
      <w:pPr>
        <w:spacing w:line="276" w:lineRule="auto"/>
        <w:jc w:val="both"/>
      </w:pPr>
      <w:r w:rsidRPr="00CE58FA">
        <w:t>Ce fichier est bien plus qu'un simple recueil de ressources : c'est une véritable invitation à explorer, à réfléchir, et à se dépasser. Quizz stimulants, cas pratiques captivants, analyses approfondies… Chaque section a été soigneusement conçue pour éveiller votre curiosité et affûter vos compétences.</w:t>
      </w:r>
    </w:p>
    <w:p w14:paraId="5AE20DF2" w14:textId="77777777" w:rsidR="00607855" w:rsidRDefault="00CE58FA" w:rsidP="00CE58FA">
      <w:pPr>
        <w:spacing w:line="276" w:lineRule="auto"/>
        <w:jc w:val="both"/>
      </w:pPr>
      <w:r w:rsidRPr="00CE58FA">
        <w:t xml:space="preserve">Que vous soyez ici pour tester vos connaissances, affronter des scénarios réalistes ou plonger au cœur de la réflexion critique, vous êtes au bon endroit. </w:t>
      </w:r>
    </w:p>
    <w:p w14:paraId="2D3DD555" w14:textId="77777777" w:rsidR="00CE58FA" w:rsidRPr="00CE58FA" w:rsidRDefault="00CE58FA" w:rsidP="00CE58FA">
      <w:pPr>
        <w:spacing w:line="276" w:lineRule="auto"/>
        <w:jc w:val="both"/>
      </w:pPr>
      <w:r w:rsidRPr="00CE58FA">
        <w:t>Préparez-vous à relever des défis intellectuels, à affiner vos raisonnements, et à construire les bases solides de votre maîtrise.</w:t>
      </w:r>
    </w:p>
    <w:p w14:paraId="382DDE3E" w14:textId="77777777" w:rsidR="00CE58FA" w:rsidRPr="00CE58FA" w:rsidRDefault="00CE58FA" w:rsidP="00CE58FA">
      <w:pPr>
        <w:spacing w:line="276" w:lineRule="auto"/>
        <w:jc w:val="both"/>
      </w:pPr>
      <w:r w:rsidRPr="00CE58FA">
        <w:t xml:space="preserve">Le but du jeu ? Apprendre, progresser et — pourquoi pas — s’amuser un peu en chemin. </w:t>
      </w:r>
    </w:p>
    <w:p w14:paraId="52B3CB7C" w14:textId="77777777" w:rsidR="00CE58FA" w:rsidRPr="00CE58FA" w:rsidRDefault="00CE58FA" w:rsidP="00CE58FA">
      <w:pPr>
        <w:spacing w:line="276" w:lineRule="auto"/>
        <w:jc w:val="both"/>
      </w:pPr>
      <w:r w:rsidRPr="00CE58FA">
        <w:t xml:space="preserve">Alors, laissez-vous guider et découvrez tout ce que cette œuvre a à vous offrir. </w:t>
      </w:r>
    </w:p>
    <w:p w14:paraId="56924184" w14:textId="77777777" w:rsidR="00CE58FA" w:rsidRPr="00CE58FA" w:rsidRDefault="00CE58FA" w:rsidP="00CE58FA">
      <w:pPr>
        <w:spacing w:line="276" w:lineRule="auto"/>
        <w:jc w:val="both"/>
      </w:pPr>
      <w:r w:rsidRPr="00CE58FA">
        <w:t xml:space="preserve">Bonne exploration, et surtout… bon courage ! </w:t>
      </w:r>
    </w:p>
    <w:p w14:paraId="43E84D41" w14:textId="77777777" w:rsidR="00AD6B9D" w:rsidRDefault="00AD6B9D"/>
    <w:p w14:paraId="41E88A75" w14:textId="77777777" w:rsidR="00AD6B9D" w:rsidRDefault="00AD6B9D">
      <w:pPr>
        <w:rPr>
          <w:rFonts w:ascii="Arial" w:hAnsi="Arial" w:cs="Arial"/>
          <w:b/>
          <w:bCs/>
          <w:sz w:val="32"/>
          <w:szCs w:val="32"/>
        </w:rPr>
      </w:pPr>
      <w:r>
        <w:rPr>
          <w:rFonts w:ascii="Arial" w:hAnsi="Arial" w:cs="Arial"/>
          <w:b/>
          <w:bCs/>
          <w:sz w:val="32"/>
          <w:szCs w:val="32"/>
        </w:rPr>
        <w:br w:type="page"/>
      </w:r>
    </w:p>
    <w:p w14:paraId="11148E29" w14:textId="77777777" w:rsidR="00E4742B" w:rsidRDefault="00E4742B" w:rsidP="00E4742B">
      <w:pPr>
        <w:jc w:val="center"/>
        <w:rPr>
          <w:rFonts w:ascii="Arial" w:hAnsi="Arial" w:cs="Arial"/>
          <w:b/>
          <w:bCs/>
          <w:sz w:val="32"/>
          <w:szCs w:val="32"/>
        </w:rPr>
      </w:pPr>
      <w:r w:rsidRPr="00E4742B">
        <w:rPr>
          <w:rFonts w:ascii="Arial" w:hAnsi="Arial" w:cs="Arial"/>
          <w:b/>
          <w:bCs/>
          <w:sz w:val="32"/>
          <w:szCs w:val="32"/>
        </w:rPr>
        <w:lastRenderedPageBreak/>
        <w:t>TABLE DES MATIERES</w:t>
      </w:r>
    </w:p>
    <w:p w14:paraId="5C9E84B3" w14:textId="77777777" w:rsidR="00E4742B" w:rsidRDefault="00E4742B" w:rsidP="00E4742B">
      <w:pPr>
        <w:jc w:val="center"/>
        <w:rPr>
          <w:rFonts w:ascii="Arial" w:hAnsi="Arial" w:cs="Arial"/>
          <w:b/>
          <w:bCs/>
          <w:sz w:val="32"/>
          <w:szCs w:val="32"/>
        </w:rPr>
      </w:pPr>
    </w:p>
    <w:p w14:paraId="48559DA5" w14:textId="77777777" w:rsidR="00536263" w:rsidRDefault="00536263">
      <w:pPr>
        <w:rPr>
          <w:rFonts w:ascii="Arial" w:hAnsi="Arial" w:cs="Arial"/>
          <w:sz w:val="20"/>
          <w:szCs w:val="20"/>
        </w:rPr>
      </w:pPr>
      <w:r>
        <w:rPr>
          <w:rFonts w:ascii="Arial" w:hAnsi="Arial" w:cs="Arial"/>
          <w:sz w:val="20"/>
          <w:szCs w:val="20"/>
        </w:rPr>
        <w:br w:type="page"/>
      </w:r>
    </w:p>
    <w:p w14:paraId="178D9BE2" w14:textId="77777777" w:rsidR="00E4742B" w:rsidRDefault="00E4742B" w:rsidP="00E4742B">
      <w:pPr>
        <w:jc w:val="both"/>
        <w:rPr>
          <w:rFonts w:ascii="Arial" w:hAnsi="Arial" w:cs="Arial"/>
          <w:sz w:val="20"/>
          <w:szCs w:val="20"/>
        </w:rPr>
      </w:pPr>
    </w:p>
    <w:p w14:paraId="2EA1F7E2" w14:textId="77777777" w:rsidR="00536263" w:rsidRPr="00CE58FA" w:rsidRDefault="00536263" w:rsidP="00A41177">
      <w:pPr>
        <w:pStyle w:val="Titre1"/>
        <w:pBdr>
          <w:bottom w:val="none" w:sz="0" w:space="0" w:color="auto"/>
        </w:pBdr>
      </w:pPr>
    </w:p>
    <w:p w14:paraId="16AF5738" w14:textId="77777777" w:rsidR="00AD6B9D" w:rsidRDefault="00607855" w:rsidP="00607855">
      <w:pPr>
        <w:pStyle w:val="Paragraphedeliste"/>
        <w:ind w:left="993"/>
      </w:pPr>
      <w:r>
        <w:br/>
      </w:r>
    </w:p>
    <w:p w14:paraId="78E4DDE8" w14:textId="77777777" w:rsidR="008779B7" w:rsidRPr="008779B7" w:rsidRDefault="008779B7" w:rsidP="008779B7">
      <w:pPr>
        <w:spacing w:before="100" w:beforeAutospacing="1" w:after="100" w:afterAutospacing="1" w:line="240" w:lineRule="auto"/>
        <w:outlineLvl w:val="1"/>
        <w:rPr>
          <w:rFonts w:ascii="Times New Roman" w:eastAsia="Times New Roman" w:hAnsi="Times New Roman" w:cs="Times New Roman"/>
          <w:b/>
          <w:bCs/>
          <w:kern w:val="0"/>
          <w:sz w:val="36"/>
          <w:szCs w:val="36"/>
          <w:lang w:eastAsia="fr-CH"/>
          <w14:ligatures w14:val="none"/>
        </w:rPr>
      </w:pPr>
      <w:r w:rsidRPr="008779B7">
        <w:rPr>
          <w:rFonts w:ascii="Times New Roman" w:eastAsia="Times New Roman" w:hAnsi="Times New Roman" w:cs="Times New Roman"/>
          <w:b/>
          <w:bCs/>
          <w:kern w:val="0"/>
          <w:sz w:val="36"/>
          <w:szCs w:val="36"/>
          <w:lang w:eastAsia="fr-CH"/>
          <w14:ligatures w14:val="none"/>
        </w:rPr>
        <w:t>I – La responsabilité civile du médecin (vue globale)</w:t>
      </w:r>
    </w:p>
    <w:p w14:paraId="7F220107"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1.1 : Erreur de diagnostic en consultation de première ligne</w:t>
      </w:r>
    </w:p>
    <w:p w14:paraId="568E76C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se présente aux urgences pour des douleurs abdominales persistantes. Le médecin effectue un examen clinique rapide et diagnostique une gastro-entérite sans prescrire d’examens complémentaires. Quelques jours plus tard, le patient est admis en chirurgie pour une appendicite aiguë non diagnostiquée à temps, entraînant une complication grave.</w:t>
      </w:r>
    </w:p>
    <w:p w14:paraId="326FBFA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médecin a manqué à son devoir de moyens en ne procédant pas à une évaluation approfondie. L’omission d’examens complémentaires conduit à une erreur de diagnostic, caractérisée comme faute professionnelle.</w:t>
      </w:r>
    </w:p>
    <w:p w14:paraId="04176FB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12247181" w14:textId="77777777" w:rsidR="008779B7" w:rsidRPr="008779B7" w:rsidRDefault="008779B7" w:rsidP="008779B7">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 10 du Code de déontologie de la FMH</w:t>
      </w:r>
      <w:r w:rsidRPr="008779B7">
        <w:rPr>
          <w:rFonts w:ascii="Times New Roman" w:eastAsia="Times New Roman" w:hAnsi="Times New Roman" w:cs="Times New Roman"/>
          <w:kern w:val="0"/>
          <w:sz w:val="24"/>
          <w:szCs w:val="24"/>
          <w:lang w:eastAsia="fr-CH"/>
          <w14:ligatures w14:val="none"/>
        </w:rPr>
        <w:t xml:space="preserve"> (devoir d’information et d’examen approfondi)</w:t>
      </w:r>
    </w:p>
    <w:p w14:paraId="1B232F0B" w14:textId="77777777" w:rsidR="008779B7" w:rsidRPr="008779B7" w:rsidRDefault="008779B7" w:rsidP="008779B7">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Dispositions du Code civil suisse</w:t>
      </w:r>
      <w:r w:rsidRPr="008779B7">
        <w:rPr>
          <w:rFonts w:ascii="Times New Roman" w:eastAsia="Times New Roman" w:hAnsi="Times New Roman" w:cs="Times New Roman"/>
          <w:kern w:val="0"/>
          <w:sz w:val="24"/>
          <w:szCs w:val="24"/>
          <w:lang w:eastAsia="fr-CH"/>
          <w14:ligatures w14:val="none"/>
        </w:rPr>
        <w:t xml:space="preserve"> relatives à la faute et à la responsabilité (obligation de diligence)</w:t>
      </w:r>
    </w:p>
    <w:p w14:paraId="2FD06FEB"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En droit médical, la responsabilité civile repose sur l’obligation de moyens. Le médecin doit agir avec prudence et diligence. Ici, le manquement à une prise en charge diagnostique adéquate crée un lien direct de causalité entre la faute et le dommage subi par le patient.</w:t>
      </w:r>
    </w:p>
    <w:p w14:paraId="6A6269AD"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8"/>
        <w:gridCol w:w="3635"/>
        <w:gridCol w:w="4175"/>
      </w:tblGrid>
      <w:tr w:rsidR="008779B7" w:rsidRPr="008779B7" w14:paraId="269742B9" w14:textId="77777777" w:rsidTr="008779B7">
        <w:trPr>
          <w:tblHeader/>
          <w:tblCellSpacing w:w="15" w:type="dxa"/>
        </w:trPr>
        <w:tc>
          <w:tcPr>
            <w:tcW w:w="0" w:type="auto"/>
            <w:vAlign w:val="center"/>
            <w:hideMark/>
          </w:tcPr>
          <w:p w14:paraId="5C7D13D9"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456F4B4A"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59A83F75"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2DBCE1A1" w14:textId="77777777" w:rsidTr="008779B7">
        <w:trPr>
          <w:tblCellSpacing w:w="15" w:type="dxa"/>
        </w:trPr>
        <w:tc>
          <w:tcPr>
            <w:tcW w:w="0" w:type="auto"/>
            <w:vAlign w:val="center"/>
            <w:hideMark/>
          </w:tcPr>
          <w:p w14:paraId="13E7772C"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1.1 – Erreur de diagnostic</w:t>
            </w:r>
          </w:p>
        </w:tc>
        <w:tc>
          <w:tcPr>
            <w:tcW w:w="0" w:type="auto"/>
            <w:vAlign w:val="center"/>
            <w:hideMark/>
          </w:tcPr>
          <w:p w14:paraId="31D37CCC"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Art. 10 Code FMH, Code civil suisse (obligation de diligence)</w:t>
            </w:r>
          </w:p>
        </w:tc>
        <w:tc>
          <w:tcPr>
            <w:tcW w:w="0" w:type="auto"/>
            <w:vAlign w:val="center"/>
            <w:hideMark/>
          </w:tcPr>
          <w:p w14:paraId="19675F3A"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Omission d’examens complémentaires entraînant une complication</w:t>
            </w:r>
          </w:p>
        </w:tc>
      </w:tr>
    </w:tbl>
    <w:p w14:paraId="4228A1C0"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1.2 : Prescription inappropriée sans vérification des antécédents</w:t>
      </w:r>
    </w:p>
    <w:p w14:paraId="2BD2086F"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présentant des symptômes d’infection reçoit une prescription antibiotique de la part de son médecin. Ce dernier omet de vérifier les antécédents allergiques du patient, qui développe rapidement une réaction allergique sévère, nécessitant une hospitalisation en soins intensifs.</w:t>
      </w:r>
    </w:p>
    <w:p w14:paraId="339A615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manquement à vérifier les antécédents médicaux constitue une négligence. En ne respectant pas les principes de vérification indispensables à une prescription sécurisée, le médecin engage sa responsabilité civile.</w:t>
      </w:r>
    </w:p>
    <w:p w14:paraId="449435D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04E27C02" w14:textId="77777777" w:rsidR="008779B7" w:rsidRPr="008779B7" w:rsidRDefault="008779B7" w:rsidP="008779B7">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 10 du Code de déontologie de la FMH</w:t>
      </w:r>
      <w:r w:rsidRPr="008779B7">
        <w:rPr>
          <w:rFonts w:ascii="Times New Roman" w:eastAsia="Times New Roman" w:hAnsi="Times New Roman" w:cs="Times New Roman"/>
          <w:kern w:val="0"/>
          <w:sz w:val="24"/>
          <w:szCs w:val="24"/>
          <w:lang w:eastAsia="fr-CH"/>
          <w14:ligatures w14:val="none"/>
        </w:rPr>
        <w:t xml:space="preserve"> (devoir d’information sur les risques)</w:t>
      </w:r>
    </w:p>
    <w:p w14:paraId="7FBC18B6" w14:textId="77777777" w:rsidR="008779B7" w:rsidRPr="008779B7" w:rsidRDefault="008779B7" w:rsidP="008779B7">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Dispositions sur la responsabilité en matière médicale</w:t>
      </w:r>
      <w:r w:rsidRPr="008779B7">
        <w:rPr>
          <w:rFonts w:ascii="Times New Roman" w:eastAsia="Times New Roman" w:hAnsi="Times New Roman" w:cs="Times New Roman"/>
          <w:kern w:val="0"/>
          <w:sz w:val="24"/>
          <w:szCs w:val="24"/>
          <w:lang w:eastAsia="fr-CH"/>
          <w14:ligatures w14:val="none"/>
        </w:rPr>
        <w:t xml:space="preserve"> du Code civil (faute personnelle)</w:t>
      </w:r>
    </w:p>
    <w:p w14:paraId="6E0D02F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prescription d’un médicament nécessite une connaissance approfondie du dossier médical du patient. L’absence de vérification conduit à un manquement à l’obligation d’information et de prudence, établissant ainsi le lien de causalité avec la réaction allergique.</w:t>
      </w:r>
    </w:p>
    <w:p w14:paraId="0437998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7"/>
        <w:gridCol w:w="3720"/>
        <w:gridCol w:w="3671"/>
      </w:tblGrid>
      <w:tr w:rsidR="008779B7" w:rsidRPr="008779B7" w14:paraId="0A94FAB2" w14:textId="77777777" w:rsidTr="008779B7">
        <w:trPr>
          <w:tblHeader/>
          <w:tblCellSpacing w:w="15" w:type="dxa"/>
        </w:trPr>
        <w:tc>
          <w:tcPr>
            <w:tcW w:w="0" w:type="auto"/>
            <w:vAlign w:val="center"/>
            <w:hideMark/>
          </w:tcPr>
          <w:p w14:paraId="64094A6C"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5378F989"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6309D09D"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21254AEA" w14:textId="77777777" w:rsidTr="008779B7">
        <w:trPr>
          <w:tblCellSpacing w:w="15" w:type="dxa"/>
        </w:trPr>
        <w:tc>
          <w:tcPr>
            <w:tcW w:w="0" w:type="auto"/>
            <w:vAlign w:val="center"/>
            <w:hideMark/>
          </w:tcPr>
          <w:p w14:paraId="1062221C"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1.2 – Prescription inappropriée</w:t>
            </w:r>
          </w:p>
        </w:tc>
        <w:tc>
          <w:tcPr>
            <w:tcW w:w="0" w:type="auto"/>
            <w:vAlign w:val="center"/>
            <w:hideMark/>
          </w:tcPr>
          <w:p w14:paraId="1FC33C6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Art. 10 Code FMH, Code civil suisse (faute de vérification)</w:t>
            </w:r>
          </w:p>
        </w:tc>
        <w:tc>
          <w:tcPr>
            <w:tcW w:w="0" w:type="auto"/>
            <w:vAlign w:val="center"/>
            <w:hideMark/>
          </w:tcPr>
          <w:p w14:paraId="1FF1FA8A"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Négligence dans la vérification des antécédents allergiques</w:t>
            </w:r>
          </w:p>
        </w:tc>
      </w:tr>
    </w:tbl>
    <w:p w14:paraId="2EB7B120"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 xml:space="preserve">Cas pratique 1.3 : Défaut d’information </w:t>
      </w:r>
      <w:proofErr w:type="spellStart"/>
      <w:r w:rsidRPr="008779B7">
        <w:rPr>
          <w:rFonts w:ascii="Times New Roman" w:eastAsia="Times New Roman" w:hAnsi="Times New Roman" w:cs="Times New Roman"/>
          <w:b/>
          <w:bCs/>
          <w:kern w:val="0"/>
          <w:sz w:val="27"/>
          <w:szCs w:val="27"/>
          <w:lang w:eastAsia="fr-CH"/>
          <w14:ligatures w14:val="none"/>
        </w:rPr>
        <w:t>pré-opératoire</w:t>
      </w:r>
      <w:proofErr w:type="spellEnd"/>
    </w:p>
    <w:p w14:paraId="5812E25A"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Avant une intervention chirurgicale, un patient n’est pas correctement informé des risques de l’opération. </w:t>
      </w:r>
      <w:proofErr w:type="gramStart"/>
      <w:r w:rsidRPr="008779B7">
        <w:rPr>
          <w:rFonts w:ascii="Times New Roman" w:eastAsia="Times New Roman" w:hAnsi="Times New Roman" w:cs="Times New Roman"/>
          <w:kern w:val="0"/>
          <w:sz w:val="24"/>
          <w:szCs w:val="24"/>
          <w:lang w:eastAsia="fr-CH"/>
          <w14:ligatures w14:val="none"/>
        </w:rPr>
        <w:t>Suite à</w:t>
      </w:r>
      <w:proofErr w:type="gramEnd"/>
      <w:r w:rsidRPr="008779B7">
        <w:rPr>
          <w:rFonts w:ascii="Times New Roman" w:eastAsia="Times New Roman" w:hAnsi="Times New Roman" w:cs="Times New Roman"/>
          <w:kern w:val="0"/>
          <w:sz w:val="24"/>
          <w:szCs w:val="24"/>
          <w:lang w:eastAsia="fr-CH"/>
          <w14:ligatures w14:val="none"/>
        </w:rPr>
        <w:t xml:space="preserve"> la procédure, une complication prévisible se produit, laissant le patient avec des séquelles qu’il n’avait pas envisagées.</w:t>
      </w:r>
    </w:p>
    <w:p w14:paraId="67828CB5"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non-respect du devoir d’information préalable constitue un manquement grave au devoir contractuel et extracontractuel. Le défaut de consentement éclairé engage directement la responsabilité civile du médecin.</w:t>
      </w:r>
    </w:p>
    <w:p w14:paraId="165CD8D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02F69455" w14:textId="77777777" w:rsidR="008779B7" w:rsidRPr="008779B7" w:rsidRDefault="008779B7" w:rsidP="008779B7">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 10 du Code de déontologie de la FMH</w:t>
      </w:r>
    </w:p>
    <w:p w14:paraId="48A54284" w14:textId="77777777" w:rsidR="008779B7" w:rsidRPr="008779B7" w:rsidRDefault="008779B7" w:rsidP="008779B7">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relative au consentement éclairé</w:t>
      </w:r>
    </w:p>
    <w:p w14:paraId="06F5A04B" w14:textId="77777777" w:rsidR="008779B7" w:rsidRPr="008779B7" w:rsidRDefault="008779B7" w:rsidP="008779B7">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du Code civil suisse</w:t>
      </w:r>
      <w:r w:rsidRPr="008779B7">
        <w:rPr>
          <w:rFonts w:ascii="Times New Roman" w:eastAsia="Times New Roman" w:hAnsi="Times New Roman" w:cs="Times New Roman"/>
          <w:kern w:val="0"/>
          <w:sz w:val="24"/>
          <w:szCs w:val="24"/>
          <w:lang w:eastAsia="fr-CH"/>
          <w14:ligatures w14:val="none"/>
        </w:rPr>
        <w:t xml:space="preserve"> sur la responsabilité contractuelle</w:t>
      </w:r>
    </w:p>
    <w:p w14:paraId="18131BAA"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Un consentement éclairé repose sur une information complète et compréhensible des risques. L’absence de cette information facture le médecin d’un manquement qui aurait pu être évité, rendant ainsi la charge du dommage imputable à la faute initiale.</w:t>
      </w:r>
    </w:p>
    <w:p w14:paraId="3019080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7"/>
        <w:gridCol w:w="3952"/>
        <w:gridCol w:w="3689"/>
      </w:tblGrid>
      <w:tr w:rsidR="008779B7" w:rsidRPr="008779B7" w14:paraId="485A749D" w14:textId="77777777" w:rsidTr="008779B7">
        <w:trPr>
          <w:tblHeader/>
          <w:tblCellSpacing w:w="15" w:type="dxa"/>
        </w:trPr>
        <w:tc>
          <w:tcPr>
            <w:tcW w:w="0" w:type="auto"/>
            <w:vAlign w:val="center"/>
            <w:hideMark/>
          </w:tcPr>
          <w:p w14:paraId="4B54A72A"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099DD4D2"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06FA389C"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2868F46C" w14:textId="77777777" w:rsidTr="008779B7">
        <w:trPr>
          <w:tblCellSpacing w:w="15" w:type="dxa"/>
        </w:trPr>
        <w:tc>
          <w:tcPr>
            <w:tcW w:w="0" w:type="auto"/>
            <w:vAlign w:val="center"/>
            <w:hideMark/>
          </w:tcPr>
          <w:p w14:paraId="513890D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1.3 – Défaut d’information</w:t>
            </w:r>
          </w:p>
        </w:tc>
        <w:tc>
          <w:tcPr>
            <w:tcW w:w="0" w:type="auto"/>
            <w:vAlign w:val="center"/>
            <w:hideMark/>
          </w:tcPr>
          <w:p w14:paraId="021A425C"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Art. 10 Code FMH, jurisprudence sur consentement éclairé, Code civil</w:t>
            </w:r>
          </w:p>
        </w:tc>
        <w:tc>
          <w:tcPr>
            <w:tcW w:w="0" w:type="auto"/>
            <w:vAlign w:val="center"/>
            <w:hideMark/>
          </w:tcPr>
          <w:p w14:paraId="44706F41"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Défaut d’information ayant mené à un non-consentement éclairé</w:t>
            </w:r>
          </w:p>
        </w:tc>
      </w:tr>
    </w:tbl>
    <w:p w14:paraId="5D759B9D"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1.4 : Retard dans le traitement en urgence</w:t>
      </w:r>
    </w:p>
    <w:p w14:paraId="03DFC1B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Dans un service d’urgence, un patient présentant des signes d’infarctus n’est pas pris en charge immédiatement. Le retard dans le diagnostic et l’intervention conduit à un infarctus étendu et à des séquelles plus importantes.</w:t>
      </w:r>
    </w:p>
    <w:p w14:paraId="3A171745"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délai de prise en charge en situation d’urgence constitue un manquement à l’obligation de soins. Ce retard, imputable à une organisation déficiente et à une fausse évaluation de la situation, engage la responsabilité civile du médecin et de l’équipe médicale.</w:t>
      </w:r>
    </w:p>
    <w:p w14:paraId="22E475BB"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31853B3C" w14:textId="77777777" w:rsidR="008779B7" w:rsidRPr="008779B7" w:rsidRDefault="008779B7" w:rsidP="008779B7">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Dispositions du Code civil suisse</w:t>
      </w:r>
      <w:r w:rsidRPr="008779B7">
        <w:rPr>
          <w:rFonts w:ascii="Times New Roman" w:eastAsia="Times New Roman" w:hAnsi="Times New Roman" w:cs="Times New Roman"/>
          <w:kern w:val="0"/>
          <w:sz w:val="24"/>
          <w:szCs w:val="24"/>
          <w:lang w:eastAsia="fr-CH"/>
          <w14:ligatures w14:val="none"/>
        </w:rPr>
        <w:t xml:space="preserve"> relatives à l’obligation de diligence,</w:t>
      </w:r>
    </w:p>
    <w:p w14:paraId="5F3E3E64" w14:textId="77777777" w:rsidR="008779B7" w:rsidRPr="008779B7" w:rsidRDefault="008779B7" w:rsidP="008779B7">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Règlements internes et directives ministérielles</w:t>
      </w:r>
      <w:r w:rsidRPr="008779B7">
        <w:rPr>
          <w:rFonts w:ascii="Times New Roman" w:eastAsia="Times New Roman" w:hAnsi="Times New Roman" w:cs="Times New Roman"/>
          <w:kern w:val="0"/>
          <w:sz w:val="24"/>
          <w:szCs w:val="24"/>
          <w:lang w:eastAsia="fr-CH"/>
          <w14:ligatures w14:val="none"/>
        </w:rPr>
        <w:t xml:space="preserve"> en matière d’urgence médicale</w:t>
      </w:r>
    </w:p>
    <w:p w14:paraId="71EC7B1C"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situation illustre la nécessité d’une évaluation rapide en cas d’urgence. Le retard provoque un aggravation de l’état du patient, mettant en lumière le défaut de coordination et de réactivité, éléments constitutifs d’une faute.</w:t>
      </w:r>
    </w:p>
    <w:p w14:paraId="183BD9E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3"/>
        <w:gridCol w:w="3645"/>
        <w:gridCol w:w="4320"/>
      </w:tblGrid>
      <w:tr w:rsidR="008779B7" w:rsidRPr="008779B7" w14:paraId="495D1D60" w14:textId="77777777" w:rsidTr="008779B7">
        <w:trPr>
          <w:tblHeader/>
          <w:tblCellSpacing w:w="15" w:type="dxa"/>
        </w:trPr>
        <w:tc>
          <w:tcPr>
            <w:tcW w:w="0" w:type="auto"/>
            <w:vAlign w:val="center"/>
            <w:hideMark/>
          </w:tcPr>
          <w:p w14:paraId="4B227E8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055DE40F"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7E02B816"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73026B03" w14:textId="77777777" w:rsidTr="008779B7">
        <w:trPr>
          <w:tblCellSpacing w:w="15" w:type="dxa"/>
        </w:trPr>
        <w:tc>
          <w:tcPr>
            <w:tcW w:w="0" w:type="auto"/>
            <w:vAlign w:val="center"/>
            <w:hideMark/>
          </w:tcPr>
          <w:p w14:paraId="143CCF9C"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1.4 – Retard en urgence</w:t>
            </w:r>
          </w:p>
        </w:tc>
        <w:tc>
          <w:tcPr>
            <w:tcW w:w="0" w:type="auto"/>
            <w:vAlign w:val="center"/>
            <w:hideMark/>
          </w:tcPr>
          <w:p w14:paraId="7BF53E1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(obligation de diligence), directives urgences</w:t>
            </w:r>
          </w:p>
        </w:tc>
        <w:tc>
          <w:tcPr>
            <w:tcW w:w="0" w:type="auto"/>
            <w:vAlign w:val="center"/>
            <w:hideMark/>
          </w:tcPr>
          <w:p w14:paraId="0A5B7E21"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Retard de prise en charge en urgence causant une aggravation du dommage</w:t>
            </w:r>
          </w:p>
        </w:tc>
      </w:tr>
    </w:tbl>
    <w:p w14:paraId="3ED046AE"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1.5 : Erreur technique lors d'une intervention chirurgicale</w:t>
      </w:r>
    </w:p>
    <w:p w14:paraId="57344CF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Lors d’une opération programmée, une équipe chirurgicale, par erreur de coordination, opère le mauvais site anatomique. Cette erreur, bien que rapidement corrigée, entraîne une seconde opération et expose le patient à des risques supplémentaires.</w:t>
      </w:r>
    </w:p>
    <w:p w14:paraId="0C796BB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L’erreur technique lors de l’intervention constitue une faute lourde. La coordination imparfaite et l’erreur dans l’identification du site opératoire démontrent le non-respect des procédures de sécurité préétablies.</w:t>
      </w:r>
    </w:p>
    <w:p w14:paraId="2925DFA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2D0144BC" w14:textId="77777777" w:rsidR="008779B7" w:rsidRPr="008779B7" w:rsidRDefault="008779B7" w:rsidP="008779B7">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de déontologie de la FMH</w:t>
      </w:r>
      <w:r w:rsidRPr="008779B7">
        <w:rPr>
          <w:rFonts w:ascii="Times New Roman" w:eastAsia="Times New Roman" w:hAnsi="Times New Roman" w:cs="Times New Roman"/>
          <w:kern w:val="0"/>
          <w:sz w:val="24"/>
          <w:szCs w:val="24"/>
          <w:lang w:eastAsia="fr-CH"/>
          <w14:ligatures w14:val="none"/>
        </w:rPr>
        <w:t xml:space="preserve"> (articles sur la sécurité en salle d’opération)</w:t>
      </w:r>
    </w:p>
    <w:p w14:paraId="24B6B5F1" w14:textId="77777777" w:rsidR="008779B7" w:rsidRPr="008779B7" w:rsidRDefault="008779B7" w:rsidP="008779B7">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sur la faute professionnelle</w:t>
      </w:r>
    </w:p>
    <w:p w14:paraId="106EA9A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sécurité en salle d’opération repose sur des protocoles stricts. Le non-respect de ces règles entraine une erreur grave, dont la réparation financière permet de compenser le préjudice subi par le patient.</w:t>
      </w:r>
    </w:p>
    <w:p w14:paraId="006E5F7B"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9"/>
        <w:gridCol w:w="4068"/>
        <w:gridCol w:w="4021"/>
      </w:tblGrid>
      <w:tr w:rsidR="008779B7" w:rsidRPr="008779B7" w14:paraId="6645D91F" w14:textId="77777777" w:rsidTr="008779B7">
        <w:trPr>
          <w:tblHeader/>
          <w:tblCellSpacing w:w="15" w:type="dxa"/>
        </w:trPr>
        <w:tc>
          <w:tcPr>
            <w:tcW w:w="0" w:type="auto"/>
            <w:vAlign w:val="center"/>
            <w:hideMark/>
          </w:tcPr>
          <w:p w14:paraId="2551AAE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49173D9C"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1BA36426"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3AD2164E" w14:textId="77777777" w:rsidTr="008779B7">
        <w:trPr>
          <w:tblCellSpacing w:w="15" w:type="dxa"/>
        </w:trPr>
        <w:tc>
          <w:tcPr>
            <w:tcW w:w="0" w:type="auto"/>
            <w:vAlign w:val="center"/>
            <w:hideMark/>
          </w:tcPr>
          <w:p w14:paraId="20A779D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1.5 – Erreur technique</w:t>
            </w:r>
          </w:p>
        </w:tc>
        <w:tc>
          <w:tcPr>
            <w:tcW w:w="0" w:type="auto"/>
            <w:vAlign w:val="center"/>
            <w:hideMark/>
          </w:tcPr>
          <w:p w14:paraId="53FAF9F0"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FMH (sécurité opératoire), Code civil suisse (faute professionnelle)</w:t>
            </w:r>
          </w:p>
        </w:tc>
        <w:tc>
          <w:tcPr>
            <w:tcW w:w="0" w:type="auto"/>
            <w:vAlign w:val="center"/>
            <w:hideMark/>
          </w:tcPr>
          <w:p w14:paraId="5E53402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Erreur de coordination en salle d’opération et identification du mauvais site</w:t>
            </w:r>
          </w:p>
        </w:tc>
      </w:tr>
    </w:tbl>
    <w:p w14:paraId="28AE6FE6" w14:textId="77777777" w:rsidR="008779B7" w:rsidRPr="008779B7" w:rsidRDefault="008779B7" w:rsidP="008779B7">
      <w:pPr>
        <w:spacing w:before="100" w:beforeAutospacing="1" w:after="100" w:afterAutospacing="1" w:line="240" w:lineRule="auto"/>
        <w:outlineLvl w:val="1"/>
        <w:rPr>
          <w:rFonts w:ascii="Times New Roman" w:eastAsia="Times New Roman" w:hAnsi="Times New Roman" w:cs="Times New Roman"/>
          <w:b/>
          <w:bCs/>
          <w:kern w:val="0"/>
          <w:sz w:val="36"/>
          <w:szCs w:val="36"/>
          <w:lang w:eastAsia="fr-CH"/>
          <w14:ligatures w14:val="none"/>
        </w:rPr>
      </w:pPr>
      <w:r w:rsidRPr="008779B7">
        <w:rPr>
          <w:rFonts w:ascii="Times New Roman" w:eastAsia="Times New Roman" w:hAnsi="Times New Roman" w:cs="Times New Roman"/>
          <w:b/>
          <w:bCs/>
          <w:kern w:val="0"/>
          <w:sz w:val="36"/>
          <w:szCs w:val="36"/>
          <w:lang w:eastAsia="fr-CH"/>
          <w14:ligatures w14:val="none"/>
        </w:rPr>
        <w:t>II – La responsabilité individuelle du médecin en droit privé</w:t>
      </w:r>
    </w:p>
    <w:p w14:paraId="4707A1EC"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2.1 : Négligence dans l’exécution personnelle d’un geste technique</w:t>
      </w:r>
    </w:p>
    <w:p w14:paraId="0ADBACA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médecin réalise lui-même un acte invasif (ponction veineuse) sans recourir à des techniques d’asepsie suffisamment rigoureuses. Le patient contracte une infection grave liée à un défaut de technique, imputable directement au médecin.</w:t>
      </w:r>
    </w:p>
    <w:p w14:paraId="287A8AC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La responsabilité individuelle se caractérise ici par l’inexécution de sa propre obligation de prudence lors d’un geste technique. Le défaut d’asepsie constitue une faute personnelle.</w:t>
      </w:r>
    </w:p>
    <w:p w14:paraId="002B02E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Articles de loi :</w:t>
      </w:r>
    </w:p>
    <w:p w14:paraId="0D1A64FB" w14:textId="77777777" w:rsidR="008779B7" w:rsidRPr="008779B7" w:rsidRDefault="008779B7" w:rsidP="008779B7">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 12 du Code de déontologie FMH</w:t>
      </w:r>
      <w:r w:rsidRPr="008779B7">
        <w:rPr>
          <w:rFonts w:ascii="Times New Roman" w:eastAsia="Times New Roman" w:hAnsi="Times New Roman" w:cs="Times New Roman"/>
          <w:kern w:val="0"/>
          <w:sz w:val="24"/>
          <w:szCs w:val="24"/>
          <w:lang w:eastAsia="fr-CH"/>
          <w14:ligatures w14:val="none"/>
        </w:rPr>
        <w:t xml:space="preserve"> (exigence de qualité technique)</w:t>
      </w:r>
    </w:p>
    <w:p w14:paraId="48A0B299" w14:textId="77777777" w:rsidR="008779B7" w:rsidRPr="008779B7" w:rsidRDefault="008779B7" w:rsidP="008779B7">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Dispositions du Code civil suisse</w:t>
      </w:r>
      <w:r w:rsidRPr="008779B7">
        <w:rPr>
          <w:rFonts w:ascii="Times New Roman" w:eastAsia="Times New Roman" w:hAnsi="Times New Roman" w:cs="Times New Roman"/>
          <w:kern w:val="0"/>
          <w:sz w:val="24"/>
          <w:szCs w:val="24"/>
          <w:lang w:eastAsia="fr-CH"/>
          <w14:ligatures w14:val="none"/>
        </w:rPr>
        <w:t xml:space="preserve"> sur la faute personnelle</w:t>
      </w:r>
    </w:p>
    <w:p w14:paraId="57F06F6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Le praticien est individuellement responsable dès lors que ses manquements relèvent de son action propre, et non d’une organisation défaillante. La relation de causalité entre la faute technique et l’infection est clairement établie.</w:t>
      </w:r>
    </w:p>
    <w:p w14:paraId="3DEE156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3"/>
        <w:gridCol w:w="3610"/>
        <w:gridCol w:w="3545"/>
      </w:tblGrid>
      <w:tr w:rsidR="008779B7" w:rsidRPr="008779B7" w14:paraId="6F58FE42" w14:textId="77777777" w:rsidTr="008779B7">
        <w:trPr>
          <w:tblHeader/>
          <w:tblCellSpacing w:w="15" w:type="dxa"/>
        </w:trPr>
        <w:tc>
          <w:tcPr>
            <w:tcW w:w="0" w:type="auto"/>
            <w:vAlign w:val="center"/>
            <w:hideMark/>
          </w:tcPr>
          <w:p w14:paraId="71B74A6F"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1FAF6B81"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27BBEBFD"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6F61A2C9" w14:textId="77777777" w:rsidTr="008779B7">
        <w:trPr>
          <w:tblCellSpacing w:w="15" w:type="dxa"/>
        </w:trPr>
        <w:tc>
          <w:tcPr>
            <w:tcW w:w="0" w:type="auto"/>
            <w:vAlign w:val="center"/>
            <w:hideMark/>
          </w:tcPr>
          <w:p w14:paraId="441F106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2.1 – Défaut d’asepsie lors d’un geste</w:t>
            </w:r>
          </w:p>
        </w:tc>
        <w:tc>
          <w:tcPr>
            <w:tcW w:w="0" w:type="auto"/>
            <w:vAlign w:val="center"/>
            <w:hideMark/>
          </w:tcPr>
          <w:p w14:paraId="76C524F1"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Art. 12 Code FMH, Code civil suisse (faute personnelle)</w:t>
            </w:r>
          </w:p>
        </w:tc>
        <w:tc>
          <w:tcPr>
            <w:tcW w:w="0" w:type="auto"/>
            <w:vAlign w:val="center"/>
            <w:hideMark/>
          </w:tcPr>
          <w:p w14:paraId="0427367A"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Non-respect des règles d’asepsie entraînant une infection</w:t>
            </w:r>
          </w:p>
        </w:tc>
      </w:tr>
    </w:tbl>
    <w:p w14:paraId="0FAEE944"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2.2 : Application d’une méthode non reconnue</w:t>
      </w:r>
    </w:p>
    <w:p w14:paraId="44378D1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médecin décide d’utiliser une méthode thérapeutique innovante, non encore validée scientifiquement, sans recueillir le consentement spécifique du patient ni informer de l’absence de validation de la technique. Le patient subit alors un traitement inefficace et potentiellement dangereux.</w:t>
      </w:r>
    </w:p>
    <w:p w14:paraId="222BF4A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recours à une méthode non éprouvée sans en informer le patient constitue une faute en matière de responsabilité individuelle. Le manquement à l’éthique et à l’obligation d’information engage directement sa responsabilité.</w:t>
      </w:r>
    </w:p>
    <w:p w14:paraId="0B55BA4F"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72D9240A" w14:textId="77777777" w:rsidR="008779B7" w:rsidRPr="008779B7" w:rsidRDefault="008779B7" w:rsidP="008779B7">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de déontologie FMH, articles sur l’expérimentation thérapeutique</w:t>
      </w:r>
    </w:p>
    <w:p w14:paraId="0F488E72" w14:textId="77777777" w:rsidR="008779B7" w:rsidRPr="008779B7" w:rsidRDefault="008779B7" w:rsidP="008779B7">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Dispositions du Code civil suisse</w:t>
      </w:r>
      <w:r w:rsidRPr="008779B7">
        <w:rPr>
          <w:rFonts w:ascii="Times New Roman" w:eastAsia="Times New Roman" w:hAnsi="Times New Roman" w:cs="Times New Roman"/>
          <w:kern w:val="0"/>
          <w:sz w:val="24"/>
          <w:szCs w:val="24"/>
          <w:lang w:eastAsia="fr-CH"/>
          <w14:ligatures w14:val="none"/>
        </w:rPr>
        <w:t xml:space="preserve"> portant sur la faute personnelle et le devoir de prudence</w:t>
      </w:r>
    </w:p>
    <w:p w14:paraId="6D8D53CC"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L’introduction d’une technique non validée viole le principe de précaution. La responsabilité du médecin est engagée car il a choisi d’agir en dehors des pratiques reconnues sans consentement éclairé.</w:t>
      </w:r>
    </w:p>
    <w:p w14:paraId="61D4B5A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4"/>
        <w:gridCol w:w="4476"/>
        <w:gridCol w:w="3368"/>
      </w:tblGrid>
      <w:tr w:rsidR="008779B7" w:rsidRPr="008779B7" w14:paraId="295E3056" w14:textId="77777777" w:rsidTr="008779B7">
        <w:trPr>
          <w:tblHeader/>
          <w:tblCellSpacing w:w="15" w:type="dxa"/>
        </w:trPr>
        <w:tc>
          <w:tcPr>
            <w:tcW w:w="0" w:type="auto"/>
            <w:vAlign w:val="center"/>
            <w:hideMark/>
          </w:tcPr>
          <w:p w14:paraId="38492A39"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69E597C8"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27FCD403"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7A562D7C" w14:textId="77777777" w:rsidTr="008779B7">
        <w:trPr>
          <w:tblCellSpacing w:w="15" w:type="dxa"/>
        </w:trPr>
        <w:tc>
          <w:tcPr>
            <w:tcW w:w="0" w:type="auto"/>
            <w:vAlign w:val="center"/>
            <w:hideMark/>
          </w:tcPr>
          <w:p w14:paraId="1D71246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2.2 – Méthode non reconnue</w:t>
            </w:r>
          </w:p>
        </w:tc>
        <w:tc>
          <w:tcPr>
            <w:tcW w:w="0" w:type="auto"/>
            <w:vAlign w:val="center"/>
            <w:hideMark/>
          </w:tcPr>
          <w:p w14:paraId="188DDF4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FMH (expérimentation thérapeutique), Code civil suisse (faute personnelle)</w:t>
            </w:r>
          </w:p>
        </w:tc>
        <w:tc>
          <w:tcPr>
            <w:tcW w:w="0" w:type="auto"/>
            <w:vAlign w:val="center"/>
            <w:hideMark/>
          </w:tcPr>
          <w:p w14:paraId="15BC780C"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Usage d’une technique innovante sans information appropriée</w:t>
            </w:r>
          </w:p>
        </w:tc>
      </w:tr>
    </w:tbl>
    <w:p w14:paraId="571BF90A"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2.3 : Manquement au suivi personnalisé du dossier</w:t>
      </w:r>
    </w:p>
    <w:p w14:paraId="672DCC5F"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Après une première consultation, le médecin ne coordonne pas correctement le suivi personnalisé du patient, oubliant de réaliser les examens complémentaires prévus lors du traitement d’une maladie chronique. Le patient voit son état s’aggraver et subit une complication évitable.</w:t>
      </w:r>
    </w:p>
    <w:p w14:paraId="63064D4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médecin est individuellement responsable du suivi de son patient. Le manquement aux examens complémentaires, qui figuraient dans le protocole de traitement, constitue une négligence personnelle.</w:t>
      </w:r>
    </w:p>
    <w:p w14:paraId="03CE69F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Articles de loi :</w:t>
      </w:r>
    </w:p>
    <w:p w14:paraId="20C3064A" w14:textId="77777777" w:rsidR="008779B7" w:rsidRPr="008779B7" w:rsidRDefault="008779B7" w:rsidP="008779B7">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FMH – articles concernant la continuité des soins</w:t>
      </w:r>
    </w:p>
    <w:p w14:paraId="74D50026" w14:textId="77777777" w:rsidR="008779B7" w:rsidRPr="008779B7" w:rsidRDefault="008779B7" w:rsidP="008779B7">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Dispositions du Code civil suisse</w:t>
      </w:r>
      <w:r w:rsidRPr="008779B7">
        <w:rPr>
          <w:rFonts w:ascii="Times New Roman" w:eastAsia="Times New Roman" w:hAnsi="Times New Roman" w:cs="Times New Roman"/>
          <w:kern w:val="0"/>
          <w:sz w:val="24"/>
          <w:szCs w:val="24"/>
          <w:lang w:eastAsia="fr-CH"/>
          <w14:ligatures w14:val="none"/>
        </w:rPr>
        <w:t xml:space="preserve"> sur l'obligation de moyen et la faute personnelle</w:t>
      </w:r>
    </w:p>
    <w:p w14:paraId="2A73A5A5"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Le suivi régulier est un pilier de la relation de confiance. L’omission d’effectuer des examens programmés démontre un manquement au devoir d’assurer une prise en charge complète.</w:t>
      </w:r>
    </w:p>
    <w:p w14:paraId="31A67DE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6"/>
        <w:gridCol w:w="3856"/>
        <w:gridCol w:w="3576"/>
      </w:tblGrid>
      <w:tr w:rsidR="008779B7" w:rsidRPr="008779B7" w14:paraId="03E5C809" w14:textId="77777777" w:rsidTr="008779B7">
        <w:trPr>
          <w:tblHeader/>
          <w:tblCellSpacing w:w="15" w:type="dxa"/>
        </w:trPr>
        <w:tc>
          <w:tcPr>
            <w:tcW w:w="0" w:type="auto"/>
            <w:vAlign w:val="center"/>
            <w:hideMark/>
          </w:tcPr>
          <w:p w14:paraId="5B384A3A"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198467F7"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079540DB"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47F270CE" w14:textId="77777777" w:rsidTr="008779B7">
        <w:trPr>
          <w:tblCellSpacing w:w="15" w:type="dxa"/>
        </w:trPr>
        <w:tc>
          <w:tcPr>
            <w:tcW w:w="0" w:type="auto"/>
            <w:vAlign w:val="center"/>
            <w:hideMark/>
          </w:tcPr>
          <w:p w14:paraId="2137B6C5"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2.3 – Défaut de suivi personnalisé</w:t>
            </w:r>
          </w:p>
        </w:tc>
        <w:tc>
          <w:tcPr>
            <w:tcW w:w="0" w:type="auto"/>
            <w:vAlign w:val="center"/>
            <w:hideMark/>
          </w:tcPr>
          <w:p w14:paraId="716B7190"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FMH (continuité des soins), Code civil suisse (obligation de moyen)</w:t>
            </w:r>
          </w:p>
        </w:tc>
        <w:tc>
          <w:tcPr>
            <w:tcW w:w="0" w:type="auto"/>
            <w:vAlign w:val="center"/>
            <w:hideMark/>
          </w:tcPr>
          <w:p w14:paraId="41F0A4E3"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Oubli des examens complémentaires dans la prise en charge</w:t>
            </w:r>
          </w:p>
        </w:tc>
      </w:tr>
    </w:tbl>
    <w:p w14:paraId="3ADE6E98"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2.4 : Usage inapproprié d’un dispositif sans formation adéquate</w:t>
      </w:r>
    </w:p>
    <w:p w14:paraId="02459C4F"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Lors d’une intervention, un médecin utilise un nouveau dispositif médical sans avoir suivi la formation spécifique requise. Une utilisation erronée engendre un dysfonctionnement de l’appareil et un dommage au patient.</w:t>
      </w:r>
    </w:p>
    <w:p w14:paraId="438A231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médecin engage sa responsabilité individuelle en n’ayant pas suivi la formation adéquate pour l’utilisation du dispositif. Ce manquement démontre un défaut de précaution personnelle.</w:t>
      </w:r>
    </w:p>
    <w:p w14:paraId="25702F0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5BC7EC17" w14:textId="77777777" w:rsidR="008779B7" w:rsidRPr="008779B7" w:rsidRDefault="008779B7" w:rsidP="008779B7">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FMH – articles sur l’obligation de formation continue</w:t>
      </w:r>
    </w:p>
    <w:p w14:paraId="1FB90713" w14:textId="77777777" w:rsidR="008779B7" w:rsidRPr="008779B7" w:rsidRDefault="008779B7" w:rsidP="008779B7">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concernant la faute personnelle et la négligence</w:t>
      </w:r>
    </w:p>
    <w:p w14:paraId="185119C7"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formation aux nouveaux dispositifs est indispensable pour garantir la sécurité des soins. Le non-respect de cette obligation de formation prouve une imprudence directement causale au dommage.</w:t>
      </w:r>
    </w:p>
    <w:p w14:paraId="7A56B1C5"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6"/>
        <w:gridCol w:w="3476"/>
        <w:gridCol w:w="3646"/>
      </w:tblGrid>
      <w:tr w:rsidR="008779B7" w:rsidRPr="008779B7" w14:paraId="6D997C92" w14:textId="77777777" w:rsidTr="008779B7">
        <w:trPr>
          <w:tblHeader/>
          <w:tblCellSpacing w:w="15" w:type="dxa"/>
        </w:trPr>
        <w:tc>
          <w:tcPr>
            <w:tcW w:w="0" w:type="auto"/>
            <w:vAlign w:val="center"/>
            <w:hideMark/>
          </w:tcPr>
          <w:p w14:paraId="6AEEC188"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64837F0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23AE37A5"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03BE5335" w14:textId="77777777" w:rsidTr="008779B7">
        <w:trPr>
          <w:tblCellSpacing w:w="15" w:type="dxa"/>
        </w:trPr>
        <w:tc>
          <w:tcPr>
            <w:tcW w:w="0" w:type="auto"/>
            <w:vAlign w:val="center"/>
            <w:hideMark/>
          </w:tcPr>
          <w:p w14:paraId="344CDFC1"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2.4 – Utilisation inappropriée d’un dispositif</w:t>
            </w:r>
          </w:p>
        </w:tc>
        <w:tc>
          <w:tcPr>
            <w:tcW w:w="0" w:type="auto"/>
            <w:vAlign w:val="center"/>
            <w:hideMark/>
          </w:tcPr>
          <w:p w14:paraId="0430CC8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FMH (formation continue), Code civil suisse (faute personnelle)</w:t>
            </w:r>
          </w:p>
        </w:tc>
        <w:tc>
          <w:tcPr>
            <w:tcW w:w="0" w:type="auto"/>
            <w:vAlign w:val="center"/>
            <w:hideMark/>
          </w:tcPr>
          <w:p w14:paraId="5F24041A"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Manque de formation entraînant une erreur dans l’utilisation d’un dispositif</w:t>
            </w:r>
          </w:p>
        </w:tc>
      </w:tr>
    </w:tbl>
    <w:p w14:paraId="378AD219"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2.5 : Fausse représentation de compétence</w:t>
      </w:r>
    </w:p>
    <w:p w14:paraId="63AAEB9C"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médecin exerce dans un domaine pour lequel il n’est pas qualifié. En incitant un patient à suivre un traitement complexe, il ne possède pas l’expertise nécessaire. Le patient est confronté à des complications importantes qui n’auraient pas eu lieu avec une prise en charge par un spécialiste compétent.</w:t>
      </w:r>
    </w:p>
    <w:p w14:paraId="2F1DBA6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Réponse argumentée :</w:t>
      </w:r>
      <w:r w:rsidRPr="008779B7">
        <w:rPr>
          <w:rFonts w:ascii="Times New Roman" w:eastAsia="Times New Roman" w:hAnsi="Times New Roman" w:cs="Times New Roman"/>
          <w:kern w:val="0"/>
          <w:sz w:val="24"/>
          <w:szCs w:val="24"/>
          <w:lang w:eastAsia="fr-CH"/>
          <w14:ligatures w14:val="none"/>
        </w:rPr>
        <w:t xml:space="preserve"> La fausse représentation des compétences constitue une tromperie sur la qualité des soins fournis. La responsabilité individuelle du médecin est ainsi engagée par son exercice hors de ses spécialités déclarées.</w:t>
      </w:r>
    </w:p>
    <w:p w14:paraId="2284EF7D"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60E461BB" w14:textId="77777777" w:rsidR="008779B7" w:rsidRPr="008779B7" w:rsidRDefault="008779B7" w:rsidP="008779B7">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de déontologie FMH – articles sur la limitation des compétences</w:t>
      </w:r>
    </w:p>
    <w:p w14:paraId="34861C2D" w14:textId="77777777" w:rsidR="008779B7" w:rsidRPr="008779B7" w:rsidRDefault="008779B7" w:rsidP="008779B7">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relatif à la mauvaise foi et à la faute personnelle</w:t>
      </w:r>
    </w:p>
    <w:p w14:paraId="17F3AAA4"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En exerçant en dehors de son champ de compétence, le médecin induit en erreur le patient quant à son expertise et compromet la sécurité des soins. La violation du devoir de transparence et de compétence justifie une indemnisation pour le préjudice subi.</w:t>
      </w:r>
    </w:p>
    <w:p w14:paraId="79E60335"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2"/>
        <w:gridCol w:w="4300"/>
        <w:gridCol w:w="2856"/>
      </w:tblGrid>
      <w:tr w:rsidR="008779B7" w:rsidRPr="008779B7" w14:paraId="2684B659" w14:textId="77777777" w:rsidTr="008779B7">
        <w:trPr>
          <w:tblHeader/>
          <w:tblCellSpacing w:w="15" w:type="dxa"/>
        </w:trPr>
        <w:tc>
          <w:tcPr>
            <w:tcW w:w="0" w:type="auto"/>
            <w:vAlign w:val="center"/>
            <w:hideMark/>
          </w:tcPr>
          <w:p w14:paraId="0815F9D9"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4E1EBB65"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0C07E910"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1AEA4200" w14:textId="77777777" w:rsidTr="008779B7">
        <w:trPr>
          <w:tblCellSpacing w:w="15" w:type="dxa"/>
        </w:trPr>
        <w:tc>
          <w:tcPr>
            <w:tcW w:w="0" w:type="auto"/>
            <w:vAlign w:val="center"/>
            <w:hideMark/>
          </w:tcPr>
          <w:p w14:paraId="4C543C43"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2.5 – Fausse représentation de compétence</w:t>
            </w:r>
          </w:p>
        </w:tc>
        <w:tc>
          <w:tcPr>
            <w:tcW w:w="0" w:type="auto"/>
            <w:vAlign w:val="center"/>
            <w:hideMark/>
          </w:tcPr>
          <w:p w14:paraId="5698BE90"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FMH (limitation des compétences), Code civil suisse (mauvaise foi, faute personnelle)</w:t>
            </w:r>
          </w:p>
        </w:tc>
        <w:tc>
          <w:tcPr>
            <w:tcW w:w="0" w:type="auto"/>
            <w:vAlign w:val="center"/>
            <w:hideMark/>
          </w:tcPr>
          <w:p w14:paraId="3CD38D8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Exercice hors spécialité justifiant le préjudice pour le patient</w:t>
            </w:r>
          </w:p>
        </w:tc>
      </w:tr>
    </w:tbl>
    <w:p w14:paraId="27F2C36E" w14:textId="77777777" w:rsidR="008779B7" w:rsidRPr="008779B7" w:rsidRDefault="008779B7" w:rsidP="008779B7">
      <w:pPr>
        <w:spacing w:before="100" w:beforeAutospacing="1" w:after="100" w:afterAutospacing="1" w:line="240" w:lineRule="auto"/>
        <w:outlineLvl w:val="1"/>
        <w:rPr>
          <w:rFonts w:ascii="Times New Roman" w:eastAsia="Times New Roman" w:hAnsi="Times New Roman" w:cs="Times New Roman"/>
          <w:b/>
          <w:bCs/>
          <w:kern w:val="0"/>
          <w:sz w:val="36"/>
          <w:szCs w:val="36"/>
          <w:lang w:eastAsia="fr-CH"/>
          <w14:ligatures w14:val="none"/>
        </w:rPr>
      </w:pPr>
      <w:r w:rsidRPr="008779B7">
        <w:rPr>
          <w:rFonts w:ascii="Times New Roman" w:eastAsia="Times New Roman" w:hAnsi="Times New Roman" w:cs="Times New Roman"/>
          <w:b/>
          <w:bCs/>
          <w:kern w:val="0"/>
          <w:sz w:val="36"/>
          <w:szCs w:val="36"/>
          <w:lang w:eastAsia="fr-CH"/>
          <w14:ligatures w14:val="none"/>
        </w:rPr>
        <w:t>III – La responsabilité contractuelle</w:t>
      </w:r>
    </w:p>
    <w:p w14:paraId="27402D1A"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3.1 : Défaut d’information dans le cadre d’un contrat de soins</w:t>
      </w:r>
    </w:p>
    <w:p w14:paraId="640F05A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signe un contrat implicite avec un établissement privé pour une intervention chirurgicale. Il n’est pas suffisamment informé des risques spécifiques liés à l’opération. Après l’intervention, des complications surviennent que le patient estime avoir été mal informé.</w:t>
      </w:r>
    </w:p>
    <w:p w14:paraId="2F57BA65"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non-respect du devoir d’information contractuel engage la responsabilité contractuelle du médecin et de l’établissement, rendant le consentement du patient invalide.</w:t>
      </w:r>
    </w:p>
    <w:p w14:paraId="5396846A"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5062BA89" w14:textId="77777777" w:rsidR="008779B7" w:rsidRPr="008779B7" w:rsidRDefault="008779B7" w:rsidP="008779B7">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du Code civil suisse sur le contrat</w:t>
      </w:r>
      <w:r w:rsidRPr="008779B7">
        <w:rPr>
          <w:rFonts w:ascii="Times New Roman" w:eastAsia="Times New Roman" w:hAnsi="Times New Roman" w:cs="Times New Roman"/>
          <w:kern w:val="0"/>
          <w:sz w:val="24"/>
          <w:szCs w:val="24"/>
          <w:lang w:eastAsia="fr-CH"/>
          <w14:ligatures w14:val="none"/>
        </w:rPr>
        <w:t xml:space="preserve"> (obligation d’information précontractuelle)</w:t>
      </w:r>
    </w:p>
    <w:p w14:paraId="769B066A" w14:textId="77777777" w:rsidR="008779B7" w:rsidRPr="008779B7" w:rsidRDefault="008779B7" w:rsidP="008779B7">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de déontologie FMH</w:t>
      </w:r>
      <w:r w:rsidRPr="008779B7">
        <w:rPr>
          <w:rFonts w:ascii="Times New Roman" w:eastAsia="Times New Roman" w:hAnsi="Times New Roman" w:cs="Times New Roman"/>
          <w:kern w:val="0"/>
          <w:sz w:val="24"/>
          <w:szCs w:val="24"/>
          <w:lang w:eastAsia="fr-CH"/>
          <w14:ligatures w14:val="none"/>
        </w:rPr>
        <w:t xml:space="preserve"> relatif au consentement éclairé</w:t>
      </w:r>
    </w:p>
    <w:p w14:paraId="3451F8E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Le contrat de soins comporte une dimension d’information préalable. La carence dans l’explication des risques remet en cause la validité du consentement et ouvre le champ à une demande de réparation contractuelle.</w:t>
      </w:r>
    </w:p>
    <w:p w14:paraId="47C5D0FD"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0"/>
        <w:gridCol w:w="3851"/>
        <w:gridCol w:w="3277"/>
      </w:tblGrid>
      <w:tr w:rsidR="008779B7" w:rsidRPr="008779B7" w14:paraId="3AE8D09E" w14:textId="77777777" w:rsidTr="008779B7">
        <w:trPr>
          <w:tblHeader/>
          <w:tblCellSpacing w:w="15" w:type="dxa"/>
        </w:trPr>
        <w:tc>
          <w:tcPr>
            <w:tcW w:w="0" w:type="auto"/>
            <w:vAlign w:val="center"/>
            <w:hideMark/>
          </w:tcPr>
          <w:p w14:paraId="0AEF606A"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1C528891"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254DF626"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47C37429" w14:textId="77777777" w:rsidTr="008779B7">
        <w:trPr>
          <w:tblCellSpacing w:w="15" w:type="dxa"/>
        </w:trPr>
        <w:tc>
          <w:tcPr>
            <w:tcW w:w="0" w:type="auto"/>
            <w:vAlign w:val="center"/>
            <w:hideMark/>
          </w:tcPr>
          <w:p w14:paraId="10981BD0"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 xml:space="preserve">3.1 – Défaut d’information </w:t>
            </w:r>
            <w:proofErr w:type="spellStart"/>
            <w:r w:rsidRPr="008779B7">
              <w:rPr>
                <w:rFonts w:ascii="Times New Roman" w:eastAsia="Times New Roman" w:hAnsi="Times New Roman" w:cs="Times New Roman"/>
                <w:kern w:val="0"/>
                <w:sz w:val="24"/>
                <w:szCs w:val="24"/>
                <w:lang w:eastAsia="fr-CH"/>
                <w14:ligatures w14:val="none"/>
              </w:rPr>
              <w:t>pré-contractuelle</w:t>
            </w:r>
            <w:proofErr w:type="spellEnd"/>
          </w:p>
        </w:tc>
        <w:tc>
          <w:tcPr>
            <w:tcW w:w="0" w:type="auto"/>
            <w:vAlign w:val="center"/>
            <w:hideMark/>
          </w:tcPr>
          <w:p w14:paraId="366FA8F2"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(obligation d’information), Code FMH (consentement éclairé)</w:t>
            </w:r>
          </w:p>
        </w:tc>
        <w:tc>
          <w:tcPr>
            <w:tcW w:w="0" w:type="auto"/>
            <w:vAlign w:val="center"/>
            <w:hideMark/>
          </w:tcPr>
          <w:p w14:paraId="74B11019"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Insuffisance d’information avant l’intervention entraînant le litige</w:t>
            </w:r>
          </w:p>
        </w:tc>
      </w:tr>
    </w:tbl>
    <w:p w14:paraId="304C2415"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3.2 : Non-respect du suivi post-opératoire contractuel</w:t>
      </w:r>
    </w:p>
    <w:p w14:paraId="741115A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Mise en situation :</w:t>
      </w:r>
      <w:r w:rsidRPr="008779B7">
        <w:rPr>
          <w:rFonts w:ascii="Times New Roman" w:eastAsia="Times New Roman" w:hAnsi="Times New Roman" w:cs="Times New Roman"/>
          <w:kern w:val="0"/>
          <w:sz w:val="24"/>
          <w:szCs w:val="24"/>
          <w:lang w:eastAsia="fr-CH"/>
          <w14:ligatures w14:val="none"/>
        </w:rPr>
        <w:t xml:space="preserve"> Après une chirurgie, un établissement privé s’engage contractuellement à assurer un suivi régulier du patient. Le suivi est défaillant, et le patient subit une complication prévisible qui aurait pu être évitée.</w:t>
      </w:r>
    </w:p>
    <w:p w14:paraId="4E781084"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non-respect du contrat de suivi constitue un manquement contractuel, engageant la responsabilité tant du médecin que de l’établissement.</w:t>
      </w:r>
    </w:p>
    <w:p w14:paraId="6F1E6CFF"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7D4852B1" w14:textId="77777777" w:rsidR="008779B7" w:rsidRPr="008779B7" w:rsidRDefault="008779B7" w:rsidP="008779B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sur l’exécution des contrats</w:t>
      </w:r>
    </w:p>
    <w:p w14:paraId="5A994B68" w14:textId="77777777" w:rsidR="008779B7" w:rsidRPr="008779B7" w:rsidRDefault="008779B7" w:rsidP="008779B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Directives internes et normes de l’établissement de soins</w:t>
      </w:r>
    </w:p>
    <w:p w14:paraId="45EEBF67"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Le suivi post-opératoire est une obligation contractuelle explicite. Le défaut de mise en œuvre de ce suivi démontre une rupture des engagements contractuels et ouvre le droit à la réparation intégrale du dommage.</w:t>
      </w:r>
    </w:p>
    <w:p w14:paraId="7331BE7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0"/>
        <w:gridCol w:w="2834"/>
        <w:gridCol w:w="4244"/>
      </w:tblGrid>
      <w:tr w:rsidR="008779B7" w:rsidRPr="008779B7" w14:paraId="3A635723" w14:textId="77777777" w:rsidTr="008779B7">
        <w:trPr>
          <w:tblHeader/>
          <w:tblCellSpacing w:w="15" w:type="dxa"/>
        </w:trPr>
        <w:tc>
          <w:tcPr>
            <w:tcW w:w="0" w:type="auto"/>
            <w:vAlign w:val="center"/>
            <w:hideMark/>
          </w:tcPr>
          <w:p w14:paraId="5664B239"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70160A33"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18922A09"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45D4AAF5" w14:textId="77777777" w:rsidTr="008779B7">
        <w:trPr>
          <w:tblCellSpacing w:w="15" w:type="dxa"/>
        </w:trPr>
        <w:tc>
          <w:tcPr>
            <w:tcW w:w="0" w:type="auto"/>
            <w:vAlign w:val="center"/>
            <w:hideMark/>
          </w:tcPr>
          <w:p w14:paraId="1012B89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3.2 – Défaut de suivi post-opératoire</w:t>
            </w:r>
          </w:p>
        </w:tc>
        <w:tc>
          <w:tcPr>
            <w:tcW w:w="0" w:type="auto"/>
            <w:vAlign w:val="center"/>
            <w:hideMark/>
          </w:tcPr>
          <w:p w14:paraId="393FB798"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(exécution des contrats)</w:t>
            </w:r>
          </w:p>
        </w:tc>
        <w:tc>
          <w:tcPr>
            <w:tcW w:w="0" w:type="auto"/>
            <w:vAlign w:val="center"/>
            <w:hideMark/>
          </w:tcPr>
          <w:p w14:paraId="5C73140A"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Rupture d’engagement contractuel dans le suivi post-opératoire</w:t>
            </w:r>
          </w:p>
        </w:tc>
      </w:tr>
    </w:tbl>
    <w:p w14:paraId="0AAF655B"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3.3 : Rupture d’une convention de soins pluriannuelle</w:t>
      </w:r>
    </w:p>
    <w:p w14:paraId="05CFFA3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ayant souscrit à un programme de soins pluriannuel constate que le médecin modifie sans préavis les protocoles prévus dans le contrat, entraînant un traitement inadéquat lors d’une intervention clé.</w:t>
      </w:r>
    </w:p>
    <w:p w14:paraId="16BE3B77"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La modification unilatérale des termes du contrat sans accord du patient constitue une rupture contractuelle. Cela ouvre la voie à une indemnisation pour le préjudice subi.</w:t>
      </w:r>
    </w:p>
    <w:p w14:paraId="1AFBFBE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4FFBA52F" w14:textId="77777777" w:rsidR="008779B7" w:rsidRPr="008779B7" w:rsidRDefault="008779B7" w:rsidP="008779B7">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sur la modification des contrats et la bonne foi contractuelle</w:t>
      </w:r>
    </w:p>
    <w:p w14:paraId="03FCD4DE" w14:textId="77777777" w:rsidR="008779B7" w:rsidRPr="008779B7" w:rsidRDefault="008779B7" w:rsidP="008779B7">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de déontologie FMH</w:t>
      </w:r>
      <w:r w:rsidRPr="008779B7">
        <w:rPr>
          <w:rFonts w:ascii="Times New Roman" w:eastAsia="Times New Roman" w:hAnsi="Times New Roman" w:cs="Times New Roman"/>
          <w:kern w:val="0"/>
          <w:sz w:val="24"/>
          <w:szCs w:val="24"/>
          <w:lang w:eastAsia="fr-CH"/>
          <w14:ligatures w14:val="none"/>
        </w:rPr>
        <w:t xml:space="preserve"> (respect des engagements pris)</w:t>
      </w:r>
    </w:p>
    <w:p w14:paraId="157F057E"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L’évolution des protocoles de soins doit être communiquée et acceptée par le patient. Une déviation sans consentement explicite remet en cause la validité de l’accord initial et justifie une responsabilité contractuelle.</w:t>
      </w:r>
    </w:p>
    <w:p w14:paraId="4502792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5"/>
        <w:gridCol w:w="3667"/>
        <w:gridCol w:w="3606"/>
      </w:tblGrid>
      <w:tr w:rsidR="008779B7" w:rsidRPr="008779B7" w14:paraId="5CC189EF" w14:textId="77777777" w:rsidTr="008779B7">
        <w:trPr>
          <w:tblHeader/>
          <w:tblCellSpacing w:w="15" w:type="dxa"/>
        </w:trPr>
        <w:tc>
          <w:tcPr>
            <w:tcW w:w="0" w:type="auto"/>
            <w:vAlign w:val="center"/>
            <w:hideMark/>
          </w:tcPr>
          <w:p w14:paraId="0AEDD656"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61445192"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14FA2DF3"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228547BB" w14:textId="77777777" w:rsidTr="008779B7">
        <w:trPr>
          <w:tblCellSpacing w:w="15" w:type="dxa"/>
        </w:trPr>
        <w:tc>
          <w:tcPr>
            <w:tcW w:w="0" w:type="auto"/>
            <w:vAlign w:val="center"/>
            <w:hideMark/>
          </w:tcPr>
          <w:p w14:paraId="07D57AA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3.3 – Rupture d’une convention de soins</w:t>
            </w:r>
          </w:p>
        </w:tc>
        <w:tc>
          <w:tcPr>
            <w:tcW w:w="0" w:type="auto"/>
            <w:vAlign w:val="center"/>
            <w:hideMark/>
          </w:tcPr>
          <w:p w14:paraId="23D02B6C"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(modification contractuelle, bonne foi), Code FMH</w:t>
            </w:r>
          </w:p>
        </w:tc>
        <w:tc>
          <w:tcPr>
            <w:tcW w:w="0" w:type="auto"/>
            <w:vAlign w:val="center"/>
            <w:hideMark/>
          </w:tcPr>
          <w:p w14:paraId="041E8948"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Changement unilatéral des termes du contrat entraînant un préjudice</w:t>
            </w:r>
          </w:p>
        </w:tc>
      </w:tr>
    </w:tbl>
    <w:p w14:paraId="6E1D89BA"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3.4 : Non-conformité d’un protocole de traitement contractuel</w:t>
      </w:r>
    </w:p>
    <w:p w14:paraId="7E3998A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Lors d’une intervention programmée dans un hôpital privé, le protocole de traitement établi contractuellement n’est pas respecté, entraînant des complications que le patient n’avait pas anticipées.</w:t>
      </w:r>
    </w:p>
    <w:p w14:paraId="02A166A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Réponse argumentée :</w:t>
      </w:r>
      <w:r w:rsidRPr="008779B7">
        <w:rPr>
          <w:rFonts w:ascii="Times New Roman" w:eastAsia="Times New Roman" w:hAnsi="Times New Roman" w:cs="Times New Roman"/>
          <w:kern w:val="0"/>
          <w:sz w:val="24"/>
          <w:szCs w:val="24"/>
          <w:lang w:eastAsia="fr-CH"/>
          <w14:ligatures w14:val="none"/>
        </w:rPr>
        <w:t xml:space="preserve"> Le non-respect du protocole défini contractuellement engage la responsabilité contractuelle du prestataire de soins, de sorte que le patient peut demander réparation.</w:t>
      </w:r>
    </w:p>
    <w:p w14:paraId="04EAF7FF"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4538AC62" w14:textId="77777777" w:rsidR="008779B7" w:rsidRPr="008779B7" w:rsidRDefault="008779B7" w:rsidP="008779B7">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(exécution en nature et réparation du préjudice en cas de non-respect contractuel)</w:t>
      </w:r>
    </w:p>
    <w:p w14:paraId="2A3A05A8" w14:textId="77777777" w:rsidR="008779B7" w:rsidRPr="008779B7" w:rsidRDefault="008779B7" w:rsidP="008779B7">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Normes internes de l’établissement</w:t>
      </w:r>
      <w:r w:rsidRPr="008779B7">
        <w:rPr>
          <w:rFonts w:ascii="Times New Roman" w:eastAsia="Times New Roman" w:hAnsi="Times New Roman" w:cs="Times New Roman"/>
          <w:kern w:val="0"/>
          <w:sz w:val="24"/>
          <w:szCs w:val="24"/>
          <w:lang w:eastAsia="fr-CH"/>
          <w14:ligatures w14:val="none"/>
        </w:rPr>
        <w:t xml:space="preserve"> validées contractuellement</w:t>
      </w:r>
    </w:p>
    <w:p w14:paraId="0EF7D55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Lorsque le traitement diffère de ce qui a été contractuellement convenu, le patient subit une rupture de la confiance légale placée dans le contrat de soins. L’établissement et le médecin doivent réparer le dommage.</w:t>
      </w:r>
    </w:p>
    <w:p w14:paraId="54BF9C14"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4"/>
        <w:gridCol w:w="3582"/>
        <w:gridCol w:w="4042"/>
      </w:tblGrid>
      <w:tr w:rsidR="008779B7" w:rsidRPr="008779B7" w14:paraId="7653AFA2" w14:textId="77777777" w:rsidTr="008779B7">
        <w:trPr>
          <w:tblHeader/>
          <w:tblCellSpacing w:w="15" w:type="dxa"/>
        </w:trPr>
        <w:tc>
          <w:tcPr>
            <w:tcW w:w="0" w:type="auto"/>
            <w:vAlign w:val="center"/>
            <w:hideMark/>
          </w:tcPr>
          <w:p w14:paraId="55D39DA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32550410"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0289AA37"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7563F8D4" w14:textId="77777777" w:rsidTr="008779B7">
        <w:trPr>
          <w:tblCellSpacing w:w="15" w:type="dxa"/>
        </w:trPr>
        <w:tc>
          <w:tcPr>
            <w:tcW w:w="0" w:type="auto"/>
            <w:vAlign w:val="center"/>
            <w:hideMark/>
          </w:tcPr>
          <w:p w14:paraId="0385C7C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3.4 – Non-conformité du protocole</w:t>
            </w:r>
          </w:p>
        </w:tc>
        <w:tc>
          <w:tcPr>
            <w:tcW w:w="0" w:type="auto"/>
            <w:vAlign w:val="center"/>
            <w:hideMark/>
          </w:tcPr>
          <w:p w14:paraId="3E4DD351"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(exécution des contrats), normes internes contractuelles</w:t>
            </w:r>
          </w:p>
        </w:tc>
        <w:tc>
          <w:tcPr>
            <w:tcW w:w="0" w:type="auto"/>
            <w:vAlign w:val="center"/>
            <w:hideMark/>
          </w:tcPr>
          <w:p w14:paraId="4AB0A2D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Défaut d’application du protocole contractuel menant à des complications imprévues</w:t>
            </w:r>
          </w:p>
        </w:tc>
      </w:tr>
    </w:tbl>
    <w:p w14:paraId="174DDE58"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3.5 : Défaut de communication dans le cadre d’un contrat de traitement</w:t>
      </w:r>
    </w:p>
    <w:p w14:paraId="21579D3A"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hôpital privé stipule dans son contrat une communication régulière sur l’évolution du traitement. Le médecin omet de tenir le patient informé des changements et complications, rendant difficile la prise de décision éclairée.</w:t>
      </w:r>
    </w:p>
    <w:p w14:paraId="393789F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L’obligation d’information contractuelle étant rompue, le patient peut mettre en avant la violation du contrat pour réclamer des dommages-intérêts compensatoires.</w:t>
      </w:r>
    </w:p>
    <w:p w14:paraId="22B3D485"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67ECB05B" w14:textId="77777777" w:rsidR="008779B7" w:rsidRPr="008779B7" w:rsidRDefault="008779B7" w:rsidP="008779B7">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sur l’obligation d’information et la responsabilité contractuelle</w:t>
      </w:r>
    </w:p>
    <w:p w14:paraId="7E367C2E" w14:textId="77777777" w:rsidR="008779B7" w:rsidRPr="008779B7" w:rsidRDefault="008779B7" w:rsidP="008779B7">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de déontologie FMH</w:t>
      </w:r>
      <w:r w:rsidRPr="008779B7">
        <w:rPr>
          <w:rFonts w:ascii="Times New Roman" w:eastAsia="Times New Roman" w:hAnsi="Times New Roman" w:cs="Times New Roman"/>
          <w:kern w:val="0"/>
          <w:sz w:val="24"/>
          <w:szCs w:val="24"/>
          <w:lang w:eastAsia="fr-CH"/>
          <w14:ligatures w14:val="none"/>
        </w:rPr>
        <w:t xml:space="preserve"> relatif à la communication avec le patient</w:t>
      </w:r>
    </w:p>
    <w:p w14:paraId="0B46EAD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communication régulière est une condition essentielle du contrat de soins. En l’occurrence, le manquement à cette obligation entraîne une perte de confiance et un préjudice quant à la prise de décision, ce qui justifie une indemnisation.</w:t>
      </w:r>
    </w:p>
    <w:p w14:paraId="3AAC3D4E"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4"/>
        <w:gridCol w:w="3975"/>
        <w:gridCol w:w="3519"/>
      </w:tblGrid>
      <w:tr w:rsidR="008779B7" w:rsidRPr="008779B7" w14:paraId="34EA38D3" w14:textId="77777777" w:rsidTr="008779B7">
        <w:trPr>
          <w:tblHeader/>
          <w:tblCellSpacing w:w="15" w:type="dxa"/>
        </w:trPr>
        <w:tc>
          <w:tcPr>
            <w:tcW w:w="0" w:type="auto"/>
            <w:vAlign w:val="center"/>
            <w:hideMark/>
          </w:tcPr>
          <w:p w14:paraId="7CB8B532"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550C3387"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50219F54"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12EF42EE" w14:textId="77777777" w:rsidTr="008779B7">
        <w:trPr>
          <w:tblCellSpacing w:w="15" w:type="dxa"/>
        </w:trPr>
        <w:tc>
          <w:tcPr>
            <w:tcW w:w="0" w:type="auto"/>
            <w:vAlign w:val="center"/>
            <w:hideMark/>
          </w:tcPr>
          <w:p w14:paraId="1892D24B"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3.5 – Défaut de communication</w:t>
            </w:r>
          </w:p>
        </w:tc>
        <w:tc>
          <w:tcPr>
            <w:tcW w:w="0" w:type="auto"/>
            <w:vAlign w:val="center"/>
            <w:hideMark/>
          </w:tcPr>
          <w:p w14:paraId="539A405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(obligation d’information), Code FMH (communication patient)</w:t>
            </w:r>
          </w:p>
        </w:tc>
        <w:tc>
          <w:tcPr>
            <w:tcW w:w="0" w:type="auto"/>
            <w:vAlign w:val="center"/>
            <w:hideMark/>
          </w:tcPr>
          <w:p w14:paraId="5FA3332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Manquement à l’obligation d’informer le patient dans le cadre contractuel</w:t>
            </w:r>
          </w:p>
        </w:tc>
      </w:tr>
    </w:tbl>
    <w:p w14:paraId="7FE7686B" w14:textId="77777777" w:rsidR="008779B7" w:rsidRPr="008779B7" w:rsidRDefault="008779B7" w:rsidP="008779B7">
      <w:pPr>
        <w:spacing w:before="100" w:beforeAutospacing="1" w:after="100" w:afterAutospacing="1" w:line="240" w:lineRule="auto"/>
        <w:outlineLvl w:val="1"/>
        <w:rPr>
          <w:rFonts w:ascii="Times New Roman" w:eastAsia="Times New Roman" w:hAnsi="Times New Roman" w:cs="Times New Roman"/>
          <w:b/>
          <w:bCs/>
          <w:kern w:val="0"/>
          <w:sz w:val="36"/>
          <w:szCs w:val="36"/>
          <w:lang w:eastAsia="fr-CH"/>
          <w14:ligatures w14:val="none"/>
        </w:rPr>
      </w:pPr>
      <w:r w:rsidRPr="008779B7">
        <w:rPr>
          <w:rFonts w:ascii="Times New Roman" w:eastAsia="Times New Roman" w:hAnsi="Times New Roman" w:cs="Times New Roman"/>
          <w:b/>
          <w:bCs/>
          <w:kern w:val="0"/>
          <w:sz w:val="36"/>
          <w:szCs w:val="36"/>
          <w:lang w:eastAsia="fr-CH"/>
          <w14:ligatures w14:val="none"/>
        </w:rPr>
        <w:t>IV – La responsabilité extracontractuelle ou délictuelle</w:t>
      </w:r>
    </w:p>
    <w:p w14:paraId="6B9DC768"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4.1 : Dommage causé en dehors de toute relation contractuelle</w:t>
      </w:r>
    </w:p>
    <w:p w14:paraId="1EF7C86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Mise en situation :</w:t>
      </w:r>
      <w:r w:rsidRPr="008779B7">
        <w:rPr>
          <w:rFonts w:ascii="Times New Roman" w:eastAsia="Times New Roman" w:hAnsi="Times New Roman" w:cs="Times New Roman"/>
          <w:kern w:val="0"/>
          <w:sz w:val="24"/>
          <w:szCs w:val="24"/>
          <w:lang w:eastAsia="fr-CH"/>
          <w14:ligatures w14:val="none"/>
        </w:rPr>
        <w:t xml:space="preserve"> Lors d’une consultation en cabinet privé, un médecin commet une erreur de jugement entraînant une mauvaise prise en charge. Bien qu’aucun contrat formel n’ait été signé, le patient subit un dommage direct lié à une action délictueuse du médecin.</w:t>
      </w:r>
    </w:p>
    <w:p w14:paraId="22D01FB7"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En l’absence de relation contractuelle, la responsabilité extracontractuelle (responsabilité délictuelle) est engagée pour faute. La preuve du dommage et du lien de causalité suffit pour justifier une indemnisation.</w:t>
      </w:r>
    </w:p>
    <w:p w14:paraId="255D727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0CFD27E9" w14:textId="77777777" w:rsidR="008779B7" w:rsidRPr="008779B7" w:rsidRDefault="008779B7" w:rsidP="008779B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 dispositions relatives à la responsabilité pour faute (extracontractuelle)</w:t>
      </w:r>
    </w:p>
    <w:p w14:paraId="66F0BF9A" w14:textId="77777777" w:rsidR="008779B7" w:rsidRPr="008779B7" w:rsidRDefault="008779B7" w:rsidP="008779B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en matière de délits médicaux</w:t>
      </w:r>
    </w:p>
    <w:p w14:paraId="3CF36C5C"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w:t>
      </w:r>
      <w:proofErr w:type="spellStart"/>
      <w:r w:rsidRPr="008779B7">
        <w:rPr>
          <w:rFonts w:ascii="Times New Roman" w:eastAsia="Times New Roman" w:hAnsi="Times New Roman" w:cs="Times New Roman"/>
          <w:kern w:val="0"/>
          <w:sz w:val="24"/>
          <w:szCs w:val="24"/>
          <w:lang w:eastAsia="fr-CH"/>
          <w14:ligatures w14:val="none"/>
        </w:rPr>
        <w:t>extracontractualité</w:t>
      </w:r>
      <w:proofErr w:type="spellEnd"/>
      <w:r w:rsidRPr="008779B7">
        <w:rPr>
          <w:rFonts w:ascii="Times New Roman" w:eastAsia="Times New Roman" w:hAnsi="Times New Roman" w:cs="Times New Roman"/>
          <w:kern w:val="0"/>
          <w:sz w:val="24"/>
          <w:szCs w:val="24"/>
          <w:lang w:eastAsia="fr-CH"/>
          <w14:ligatures w14:val="none"/>
        </w:rPr>
        <w:t xml:space="preserve"> suppose une faute juridique ayant causé un dommage. Ici, même sans contrat formel, la déviation des normes de soins suffit à engager la responsabilité du médecin.</w:t>
      </w:r>
    </w:p>
    <w:p w14:paraId="6190D11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9"/>
        <w:gridCol w:w="3928"/>
        <w:gridCol w:w="3331"/>
      </w:tblGrid>
      <w:tr w:rsidR="008779B7" w:rsidRPr="008779B7" w14:paraId="7E8F88A7" w14:textId="77777777" w:rsidTr="008779B7">
        <w:trPr>
          <w:tblHeader/>
          <w:tblCellSpacing w:w="15" w:type="dxa"/>
        </w:trPr>
        <w:tc>
          <w:tcPr>
            <w:tcW w:w="0" w:type="auto"/>
            <w:vAlign w:val="center"/>
            <w:hideMark/>
          </w:tcPr>
          <w:p w14:paraId="0BB29775"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5D692224"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254FB996"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338377AA" w14:textId="77777777" w:rsidTr="008779B7">
        <w:trPr>
          <w:tblCellSpacing w:w="15" w:type="dxa"/>
        </w:trPr>
        <w:tc>
          <w:tcPr>
            <w:tcW w:w="0" w:type="auto"/>
            <w:vAlign w:val="center"/>
            <w:hideMark/>
          </w:tcPr>
          <w:p w14:paraId="637A74B6"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4.1 – Dommage extracontractuel</w:t>
            </w:r>
          </w:p>
        </w:tc>
        <w:tc>
          <w:tcPr>
            <w:tcW w:w="0" w:type="auto"/>
            <w:vAlign w:val="center"/>
            <w:hideMark/>
          </w:tcPr>
          <w:p w14:paraId="6BDC68AB"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(responsabilité délictuelle), jurisprudence médicale</w:t>
            </w:r>
          </w:p>
        </w:tc>
        <w:tc>
          <w:tcPr>
            <w:tcW w:w="0" w:type="auto"/>
            <w:vAlign w:val="center"/>
            <w:hideMark/>
          </w:tcPr>
          <w:p w14:paraId="01A8604F"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Faute en consultation sans relation contractuelle formelle</w:t>
            </w:r>
          </w:p>
        </w:tc>
      </w:tr>
    </w:tbl>
    <w:p w14:paraId="55927ABE"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4.2 : Accident survenu lors d’une consultation en dehors du cadre contractuel</w:t>
      </w:r>
    </w:p>
    <w:p w14:paraId="6F7BA30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se rend en consultation en urgence dans un cabinet médical. Pendant l’examen, une manipulation inappropriée provoque une blessure accidentelle, sans que le patient ait établi de contrat formel de soins.</w:t>
      </w:r>
    </w:p>
    <w:p w14:paraId="752A172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La faute commise relève de la responsabilité délictuelle, car l’acte médical, même en urgence, doit respecter les normes de sécurité. L’accident médical entraîne l’obligation de réparer le dommage causé.</w:t>
      </w:r>
    </w:p>
    <w:p w14:paraId="6AC7750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00E0A3F9" w14:textId="77777777" w:rsidR="008779B7" w:rsidRPr="008779B7" w:rsidRDefault="008779B7" w:rsidP="008779B7">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concernant la responsabilité extracontractuelle</w:t>
      </w:r>
    </w:p>
    <w:p w14:paraId="44FF3DA1" w14:textId="77777777" w:rsidR="008779B7" w:rsidRPr="008779B7" w:rsidRDefault="008779B7" w:rsidP="008779B7">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Réglementation applicable aux actes d’urgence médicale</w:t>
      </w:r>
    </w:p>
    <w:p w14:paraId="0EEC2FD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responsabilité délictuelle s’applique lorsque la relation n’est pas fondée sur un contrat formel. Le préjudice causé par la manipulation inappropriée justifie l’indemnisation du patient en raison de la violation des règles élémentaires de sécurité.</w:t>
      </w:r>
    </w:p>
    <w:p w14:paraId="15F4350F"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2"/>
        <w:gridCol w:w="4027"/>
        <w:gridCol w:w="3169"/>
      </w:tblGrid>
      <w:tr w:rsidR="008779B7" w:rsidRPr="008779B7" w14:paraId="1FD8B69B" w14:textId="77777777" w:rsidTr="008779B7">
        <w:trPr>
          <w:tblHeader/>
          <w:tblCellSpacing w:w="15" w:type="dxa"/>
        </w:trPr>
        <w:tc>
          <w:tcPr>
            <w:tcW w:w="0" w:type="auto"/>
            <w:vAlign w:val="center"/>
            <w:hideMark/>
          </w:tcPr>
          <w:p w14:paraId="54A42DC8"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397D2760"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115C5FED"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57E92F27" w14:textId="77777777" w:rsidTr="008779B7">
        <w:trPr>
          <w:tblCellSpacing w:w="15" w:type="dxa"/>
        </w:trPr>
        <w:tc>
          <w:tcPr>
            <w:tcW w:w="0" w:type="auto"/>
            <w:vAlign w:val="center"/>
            <w:hideMark/>
          </w:tcPr>
          <w:p w14:paraId="57E211E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4.2 – Accident en consultation d’urgence</w:t>
            </w:r>
          </w:p>
        </w:tc>
        <w:tc>
          <w:tcPr>
            <w:tcW w:w="0" w:type="auto"/>
            <w:vAlign w:val="center"/>
            <w:hideMark/>
          </w:tcPr>
          <w:p w14:paraId="16D6A51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(responsabilité délictuelle), règlement en urgence médicale</w:t>
            </w:r>
          </w:p>
        </w:tc>
        <w:tc>
          <w:tcPr>
            <w:tcW w:w="0" w:type="auto"/>
            <w:vAlign w:val="center"/>
            <w:hideMark/>
          </w:tcPr>
          <w:p w14:paraId="43881DBA"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Préjudice accidentel en consultation hors cadre contractuel</w:t>
            </w:r>
          </w:p>
        </w:tc>
      </w:tr>
    </w:tbl>
    <w:p w14:paraId="27C2C90E"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4.3 : Négligence en salle d’attente entraînant un accident</w:t>
      </w:r>
    </w:p>
    <w:p w14:paraId="76A7E86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Mise en situation :</w:t>
      </w:r>
      <w:r w:rsidRPr="008779B7">
        <w:rPr>
          <w:rFonts w:ascii="Times New Roman" w:eastAsia="Times New Roman" w:hAnsi="Times New Roman" w:cs="Times New Roman"/>
          <w:kern w:val="0"/>
          <w:sz w:val="24"/>
          <w:szCs w:val="24"/>
          <w:lang w:eastAsia="fr-CH"/>
          <w14:ligatures w14:val="none"/>
        </w:rPr>
        <w:t xml:space="preserve"> Dans une salle d’attente d’un cabinet de consultation, un patient trébuche sur du matériel mal rangé. Bien que l’erreur ne soit pas directement liée à un acte médical, la négligence dans l’entretien des locaux expose le patient à un risque non justifié.</w:t>
      </w:r>
    </w:p>
    <w:p w14:paraId="228C0B8B"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La responsabilité extracontractuelle est engagée pour un dommage causé par une négligence dans la gestion des locaux. Le médecin, en tant que responsable de la sécurité des lieux, doit répondre du préjudice.</w:t>
      </w:r>
    </w:p>
    <w:p w14:paraId="71A38FA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2ACB4121" w14:textId="77777777" w:rsidR="008779B7" w:rsidRPr="008779B7" w:rsidRDefault="008779B7" w:rsidP="008779B7">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 dispositions relatives à la responsabilité délictuelle pour négligence</w:t>
      </w:r>
    </w:p>
    <w:p w14:paraId="528E56D8" w14:textId="77777777" w:rsidR="008779B7" w:rsidRPr="008779B7" w:rsidRDefault="008779B7" w:rsidP="008779B7">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Normes de sécurité applicables aux établissements de soins</w:t>
      </w:r>
    </w:p>
    <w:p w14:paraId="39A67DBA"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Même si aucun acte médical n’est directement en cause, la sécurité du patient dans l’environnement du cabinet est une obligation du médecin. La négligence de l’entretien déclenche la responsabilité extracontractuelle.</w:t>
      </w:r>
    </w:p>
    <w:p w14:paraId="4332199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4"/>
        <w:gridCol w:w="3689"/>
        <w:gridCol w:w="3745"/>
      </w:tblGrid>
      <w:tr w:rsidR="008779B7" w:rsidRPr="008779B7" w14:paraId="739A3FBF" w14:textId="77777777" w:rsidTr="008779B7">
        <w:trPr>
          <w:tblHeader/>
          <w:tblCellSpacing w:w="15" w:type="dxa"/>
        </w:trPr>
        <w:tc>
          <w:tcPr>
            <w:tcW w:w="0" w:type="auto"/>
            <w:vAlign w:val="center"/>
            <w:hideMark/>
          </w:tcPr>
          <w:p w14:paraId="740BB713"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007B4739"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1467F7CD"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185EED0E" w14:textId="77777777" w:rsidTr="008779B7">
        <w:trPr>
          <w:tblCellSpacing w:w="15" w:type="dxa"/>
        </w:trPr>
        <w:tc>
          <w:tcPr>
            <w:tcW w:w="0" w:type="auto"/>
            <w:vAlign w:val="center"/>
            <w:hideMark/>
          </w:tcPr>
          <w:p w14:paraId="7F8C8AA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4.3 – Accident en salle d’attente</w:t>
            </w:r>
          </w:p>
        </w:tc>
        <w:tc>
          <w:tcPr>
            <w:tcW w:w="0" w:type="auto"/>
            <w:vAlign w:val="center"/>
            <w:hideMark/>
          </w:tcPr>
          <w:p w14:paraId="4DAFAEB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(négligence, responsabilité délictuelle)</w:t>
            </w:r>
          </w:p>
        </w:tc>
        <w:tc>
          <w:tcPr>
            <w:tcW w:w="0" w:type="auto"/>
            <w:vAlign w:val="center"/>
            <w:hideMark/>
          </w:tcPr>
          <w:p w14:paraId="67CF578F"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Négligence dans l’entretien des locaux causant un accident</w:t>
            </w:r>
          </w:p>
        </w:tc>
      </w:tr>
    </w:tbl>
    <w:p w14:paraId="0CB8FF57"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4.4 : Erreur de diagnostic en situation d’urgence hors contrat</w:t>
      </w:r>
    </w:p>
    <w:p w14:paraId="30286A7F"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se présentant spontanément à une clinique non conventionnée, reçoit un diagnostic erroné lors d’une consultation d’urgence en dehors de tout cadre contractuel établi. Le retard dans la prise en charge cause une aggravation de son état.</w:t>
      </w:r>
    </w:p>
    <w:p w14:paraId="198A6554"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La faute diagnostic en situation d’urgence, même hors relation contractuelle formelle, engage la responsabilité délictuelle du praticien, dès lors que le standard de soins n’est pas respecté.</w:t>
      </w:r>
    </w:p>
    <w:p w14:paraId="6D5DFD2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49C61032" w14:textId="77777777" w:rsidR="008779B7" w:rsidRPr="008779B7" w:rsidRDefault="008779B7" w:rsidP="008779B7">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(responsabilité délictuelle pour erreur médicale)</w:t>
      </w:r>
    </w:p>
    <w:p w14:paraId="4E682335" w14:textId="77777777" w:rsidR="008779B7" w:rsidRPr="008779B7" w:rsidRDefault="008779B7" w:rsidP="008779B7">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relative à la prise en charge des urgences</w:t>
      </w:r>
    </w:p>
    <w:p w14:paraId="0C1B885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L’absence de contrat formel ne dispense pas le médecin de respecter les exigences minimales de diligence. Le manquement au standard de soins entraîne un lien direct avec l’aggravation de l’état du patient.</w:t>
      </w:r>
    </w:p>
    <w:p w14:paraId="174939A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8"/>
        <w:gridCol w:w="3755"/>
        <w:gridCol w:w="3335"/>
      </w:tblGrid>
      <w:tr w:rsidR="008779B7" w:rsidRPr="008779B7" w14:paraId="43D79667" w14:textId="77777777" w:rsidTr="008779B7">
        <w:trPr>
          <w:tblHeader/>
          <w:tblCellSpacing w:w="15" w:type="dxa"/>
        </w:trPr>
        <w:tc>
          <w:tcPr>
            <w:tcW w:w="0" w:type="auto"/>
            <w:vAlign w:val="center"/>
            <w:hideMark/>
          </w:tcPr>
          <w:p w14:paraId="6F35BEA4"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7BDF86E5"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4946FFF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5D1D8021" w14:textId="77777777" w:rsidTr="008779B7">
        <w:trPr>
          <w:tblCellSpacing w:w="15" w:type="dxa"/>
        </w:trPr>
        <w:tc>
          <w:tcPr>
            <w:tcW w:w="0" w:type="auto"/>
            <w:vAlign w:val="center"/>
            <w:hideMark/>
          </w:tcPr>
          <w:p w14:paraId="40B1D32C"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4.4 – Erreur de diagnostic en urgence hors contrat</w:t>
            </w:r>
          </w:p>
        </w:tc>
        <w:tc>
          <w:tcPr>
            <w:tcW w:w="0" w:type="auto"/>
            <w:vAlign w:val="center"/>
            <w:hideMark/>
          </w:tcPr>
          <w:p w14:paraId="00FF0C1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(responsabilité délictuelle), jurisprudence sur les urgences</w:t>
            </w:r>
          </w:p>
        </w:tc>
        <w:tc>
          <w:tcPr>
            <w:tcW w:w="0" w:type="auto"/>
            <w:vAlign w:val="center"/>
            <w:hideMark/>
          </w:tcPr>
          <w:p w14:paraId="537F7E4F"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Manquement aux standards de soins en situation non contractuelle</w:t>
            </w:r>
          </w:p>
        </w:tc>
      </w:tr>
    </w:tbl>
    <w:p w14:paraId="4FC958B7"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 xml:space="preserve">Cas pratique 4.5 : Dommage corporel </w:t>
      </w:r>
      <w:proofErr w:type="gramStart"/>
      <w:r w:rsidRPr="008779B7">
        <w:rPr>
          <w:rFonts w:ascii="Times New Roman" w:eastAsia="Times New Roman" w:hAnsi="Times New Roman" w:cs="Times New Roman"/>
          <w:b/>
          <w:bCs/>
          <w:kern w:val="0"/>
          <w:sz w:val="27"/>
          <w:szCs w:val="27"/>
          <w:lang w:eastAsia="fr-CH"/>
          <w14:ligatures w14:val="none"/>
        </w:rPr>
        <w:t>suite à un</w:t>
      </w:r>
      <w:proofErr w:type="gramEnd"/>
      <w:r w:rsidRPr="008779B7">
        <w:rPr>
          <w:rFonts w:ascii="Times New Roman" w:eastAsia="Times New Roman" w:hAnsi="Times New Roman" w:cs="Times New Roman"/>
          <w:b/>
          <w:bCs/>
          <w:kern w:val="0"/>
          <w:sz w:val="27"/>
          <w:szCs w:val="27"/>
          <w:lang w:eastAsia="fr-CH"/>
          <w14:ligatures w14:val="none"/>
        </w:rPr>
        <w:t xml:space="preserve"> acte de négligence non contractuelle</w:t>
      </w:r>
    </w:p>
    <w:p w14:paraId="7A5D3F7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Mise en situation :</w:t>
      </w:r>
      <w:r w:rsidRPr="008779B7">
        <w:rPr>
          <w:rFonts w:ascii="Times New Roman" w:eastAsia="Times New Roman" w:hAnsi="Times New Roman" w:cs="Times New Roman"/>
          <w:kern w:val="0"/>
          <w:sz w:val="24"/>
          <w:szCs w:val="24"/>
          <w:lang w:eastAsia="fr-CH"/>
          <w14:ligatures w14:val="none"/>
        </w:rPr>
        <w:t xml:space="preserve"> Lors d’une consultation ambulatoire, une erreur technique dans l’administration d’un médicament provoque un dommage corporel prolongé chez le patient, sans qu’il n’existe de relation contractuelle formelle écrite.</w:t>
      </w:r>
    </w:p>
    <w:p w14:paraId="6657BF85"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La faute technique relève de la responsabilité extracontractuelle. L’absence de contrat écrit n’exonère pas le médecin de garantir un minimum de précautions dans la délivrance des soins.</w:t>
      </w:r>
    </w:p>
    <w:p w14:paraId="4F5B39B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79C1161C" w14:textId="77777777" w:rsidR="008779B7" w:rsidRPr="008779B7" w:rsidRDefault="008779B7" w:rsidP="008779B7">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pour la responsabilité délictuelle</w:t>
      </w:r>
    </w:p>
    <w:p w14:paraId="7F7A3611" w14:textId="77777777" w:rsidR="008779B7" w:rsidRPr="008779B7" w:rsidRDefault="008779B7" w:rsidP="008779B7">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Directives de sécurité médicale</w:t>
      </w:r>
    </w:p>
    <w:p w14:paraId="0E791ACC"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Le lien direct entre la négligence et le dommage subi permet de caractériser l’acte en tant que délit médical. Le patient est en droit d’exiger réparation intégrale du préjudice causé.</w:t>
      </w:r>
    </w:p>
    <w:p w14:paraId="5705B7E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6"/>
        <w:gridCol w:w="3752"/>
        <w:gridCol w:w="3110"/>
      </w:tblGrid>
      <w:tr w:rsidR="008779B7" w:rsidRPr="008779B7" w14:paraId="611FE7A3" w14:textId="77777777" w:rsidTr="008779B7">
        <w:trPr>
          <w:tblHeader/>
          <w:tblCellSpacing w:w="15" w:type="dxa"/>
        </w:trPr>
        <w:tc>
          <w:tcPr>
            <w:tcW w:w="0" w:type="auto"/>
            <w:vAlign w:val="center"/>
            <w:hideMark/>
          </w:tcPr>
          <w:p w14:paraId="116C46A6"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01DF1737"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668A4257"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4EA78F33" w14:textId="77777777" w:rsidTr="008779B7">
        <w:trPr>
          <w:tblCellSpacing w:w="15" w:type="dxa"/>
        </w:trPr>
        <w:tc>
          <w:tcPr>
            <w:tcW w:w="0" w:type="auto"/>
            <w:vAlign w:val="center"/>
            <w:hideMark/>
          </w:tcPr>
          <w:p w14:paraId="20063581"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4.5 – Dommage corporel en consultation ambulatoire</w:t>
            </w:r>
          </w:p>
        </w:tc>
        <w:tc>
          <w:tcPr>
            <w:tcW w:w="0" w:type="auto"/>
            <w:vAlign w:val="center"/>
            <w:hideMark/>
          </w:tcPr>
          <w:p w14:paraId="293F4ECF"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(responsabilité délictuelle), directives de sécurité médicale</w:t>
            </w:r>
          </w:p>
        </w:tc>
        <w:tc>
          <w:tcPr>
            <w:tcW w:w="0" w:type="auto"/>
            <w:vAlign w:val="center"/>
            <w:hideMark/>
          </w:tcPr>
          <w:p w14:paraId="7CBF36D5"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Faute technique en consultation causant un dommage corporel</w:t>
            </w:r>
          </w:p>
        </w:tc>
      </w:tr>
    </w:tbl>
    <w:p w14:paraId="0D2D8141" w14:textId="77777777" w:rsidR="008779B7" w:rsidRPr="008779B7" w:rsidRDefault="008779B7" w:rsidP="008779B7">
      <w:pPr>
        <w:spacing w:before="100" w:beforeAutospacing="1" w:after="100" w:afterAutospacing="1" w:line="240" w:lineRule="auto"/>
        <w:outlineLvl w:val="1"/>
        <w:rPr>
          <w:rFonts w:ascii="Times New Roman" w:eastAsia="Times New Roman" w:hAnsi="Times New Roman" w:cs="Times New Roman"/>
          <w:b/>
          <w:bCs/>
          <w:kern w:val="0"/>
          <w:sz w:val="36"/>
          <w:szCs w:val="36"/>
          <w:lang w:eastAsia="fr-CH"/>
          <w14:ligatures w14:val="none"/>
        </w:rPr>
      </w:pPr>
      <w:r w:rsidRPr="008779B7">
        <w:rPr>
          <w:rFonts w:ascii="Times New Roman" w:eastAsia="Times New Roman" w:hAnsi="Times New Roman" w:cs="Times New Roman"/>
          <w:b/>
          <w:bCs/>
          <w:kern w:val="0"/>
          <w:sz w:val="36"/>
          <w:szCs w:val="36"/>
          <w:lang w:eastAsia="fr-CH"/>
          <w14:ligatures w14:val="none"/>
        </w:rPr>
        <w:t>V – La condition de la responsabilité civile : le dommage</w:t>
      </w:r>
    </w:p>
    <w:p w14:paraId="25C45968"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5.1 : Doute sur le lien de causalité</w:t>
      </w:r>
    </w:p>
    <w:p w14:paraId="78A6A67F"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subit un traitement qui est suivi, par ailleurs, d’un événement indésirable (une infection) dont l’origine pourrait être multifactorielle. L’établissement doit prouver que le dommage est imputable directement à une faute médicale.</w:t>
      </w:r>
    </w:p>
    <w:p w14:paraId="2C4E4D6D"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La responsabilité ne peut être engagée que si le dommage est démontré et qu’un lien de causalité certain est établi entre la faute et le préjudice. Ici, le doute sur le lien causal affaiblit la demande de réparation.</w:t>
      </w:r>
    </w:p>
    <w:p w14:paraId="52FD08AB"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50425931" w14:textId="77777777" w:rsidR="008779B7" w:rsidRPr="008779B7" w:rsidRDefault="008779B7" w:rsidP="008779B7">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(notion de causalité en responsabilité)</w:t>
      </w:r>
    </w:p>
    <w:p w14:paraId="1C649B2C" w14:textId="77777777" w:rsidR="008779B7" w:rsidRPr="008779B7" w:rsidRDefault="008779B7" w:rsidP="008779B7">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sur la preuve du dommage</w:t>
      </w:r>
    </w:p>
    <w:p w14:paraId="5AA1AFD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L’élément essentiel de tout litige en responsabilité civile est la preuve du dommage et son lien direct avec la faute. Le juge examinera la corrélation pour accorder ou refuser l’indemnisation.</w:t>
      </w:r>
    </w:p>
    <w:p w14:paraId="07E2ADAF"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5"/>
        <w:gridCol w:w="3311"/>
        <w:gridCol w:w="4112"/>
      </w:tblGrid>
      <w:tr w:rsidR="008779B7" w:rsidRPr="008779B7" w14:paraId="7E731894" w14:textId="77777777" w:rsidTr="008779B7">
        <w:trPr>
          <w:tblHeader/>
          <w:tblCellSpacing w:w="15" w:type="dxa"/>
        </w:trPr>
        <w:tc>
          <w:tcPr>
            <w:tcW w:w="0" w:type="auto"/>
            <w:vAlign w:val="center"/>
            <w:hideMark/>
          </w:tcPr>
          <w:p w14:paraId="1E2DD45D"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5F38B9B1"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1E38A733"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6C8E4790" w14:textId="77777777" w:rsidTr="008779B7">
        <w:trPr>
          <w:tblCellSpacing w:w="15" w:type="dxa"/>
        </w:trPr>
        <w:tc>
          <w:tcPr>
            <w:tcW w:w="0" w:type="auto"/>
            <w:vAlign w:val="center"/>
            <w:hideMark/>
          </w:tcPr>
          <w:p w14:paraId="2082E9CB"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5.1 – Doute sur le lien de causalité</w:t>
            </w:r>
          </w:p>
        </w:tc>
        <w:tc>
          <w:tcPr>
            <w:tcW w:w="0" w:type="auto"/>
            <w:vAlign w:val="center"/>
            <w:hideMark/>
          </w:tcPr>
          <w:p w14:paraId="594FC652"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(notion de causalité), jurisprudence</w:t>
            </w:r>
          </w:p>
        </w:tc>
        <w:tc>
          <w:tcPr>
            <w:tcW w:w="0" w:type="auto"/>
            <w:vAlign w:val="center"/>
            <w:hideMark/>
          </w:tcPr>
          <w:p w14:paraId="64780CC1"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Difficulté à prouver que la faute est la cause directe exacte du dommage</w:t>
            </w:r>
          </w:p>
        </w:tc>
      </w:tr>
    </w:tbl>
    <w:p w14:paraId="295C5E65"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lastRenderedPageBreak/>
        <w:t>Cas pratique 5.2 : Dommage moral consécutif à une erreur de diagnostic</w:t>
      </w:r>
    </w:p>
    <w:p w14:paraId="579DFE9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w:t>
      </w:r>
      <w:proofErr w:type="gramStart"/>
      <w:r w:rsidRPr="008779B7">
        <w:rPr>
          <w:rFonts w:ascii="Times New Roman" w:eastAsia="Times New Roman" w:hAnsi="Times New Roman" w:cs="Times New Roman"/>
          <w:kern w:val="0"/>
          <w:sz w:val="24"/>
          <w:szCs w:val="24"/>
          <w:lang w:eastAsia="fr-CH"/>
          <w14:ligatures w14:val="none"/>
        </w:rPr>
        <w:t>Suite à un</w:t>
      </w:r>
      <w:proofErr w:type="gramEnd"/>
      <w:r w:rsidRPr="008779B7">
        <w:rPr>
          <w:rFonts w:ascii="Times New Roman" w:eastAsia="Times New Roman" w:hAnsi="Times New Roman" w:cs="Times New Roman"/>
          <w:kern w:val="0"/>
          <w:sz w:val="24"/>
          <w:szCs w:val="24"/>
          <w:lang w:eastAsia="fr-CH"/>
          <w14:ligatures w14:val="none"/>
        </w:rPr>
        <w:t xml:space="preserve"> diagnostic erroné, un patient subit un stress psychologique intense, menant à une dégradation de sa qualité de vie. Le dommage invoqué est principalement moral, avec peu d’éléments physiques constatables.</w:t>
      </w:r>
    </w:p>
    <w:p w14:paraId="633BCB27"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préjudice moral, bien que difficile à quantifier, est indemnisable si l’erreur de diagnostic est prouvée. Le médecin doit démontrer que le dommage moral découle directement de son manquement.</w:t>
      </w:r>
    </w:p>
    <w:p w14:paraId="07ED8624"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3E3FC6EE" w14:textId="77777777" w:rsidR="008779B7" w:rsidRPr="008779B7" w:rsidRDefault="008779B7" w:rsidP="008779B7">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(réparation du préjudice moral)</w:t>
      </w:r>
    </w:p>
    <w:p w14:paraId="2FBF669D" w14:textId="77777777" w:rsidR="008779B7" w:rsidRPr="008779B7" w:rsidRDefault="008779B7" w:rsidP="008779B7">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en matière de dommage moral pour faute médicale</w:t>
      </w:r>
    </w:p>
    <w:p w14:paraId="5CD059D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Le dommage moral relève de l’atteinte à la dignité et au bien-être psychologique du patient. La jurisprudence exige toutefois des preuves spécifiques, telles que des témoignages ou des expertises psychologiques.</w:t>
      </w:r>
    </w:p>
    <w:p w14:paraId="40129D6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2"/>
        <w:gridCol w:w="3525"/>
        <w:gridCol w:w="3441"/>
      </w:tblGrid>
      <w:tr w:rsidR="008779B7" w:rsidRPr="008779B7" w14:paraId="1FBFA9AC" w14:textId="77777777" w:rsidTr="008779B7">
        <w:trPr>
          <w:tblHeader/>
          <w:tblCellSpacing w:w="15" w:type="dxa"/>
        </w:trPr>
        <w:tc>
          <w:tcPr>
            <w:tcW w:w="0" w:type="auto"/>
            <w:vAlign w:val="center"/>
            <w:hideMark/>
          </w:tcPr>
          <w:p w14:paraId="252CBF79"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40BA5D00"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488E8CE3"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31160676" w14:textId="77777777" w:rsidTr="008779B7">
        <w:trPr>
          <w:tblCellSpacing w:w="15" w:type="dxa"/>
        </w:trPr>
        <w:tc>
          <w:tcPr>
            <w:tcW w:w="0" w:type="auto"/>
            <w:vAlign w:val="center"/>
            <w:hideMark/>
          </w:tcPr>
          <w:p w14:paraId="16DCF0B9"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 xml:space="preserve">5.2 – Dommage moral </w:t>
            </w:r>
            <w:proofErr w:type="gramStart"/>
            <w:r w:rsidRPr="008779B7">
              <w:rPr>
                <w:rFonts w:ascii="Times New Roman" w:eastAsia="Times New Roman" w:hAnsi="Times New Roman" w:cs="Times New Roman"/>
                <w:kern w:val="0"/>
                <w:sz w:val="24"/>
                <w:szCs w:val="24"/>
                <w:lang w:eastAsia="fr-CH"/>
                <w14:ligatures w14:val="none"/>
              </w:rPr>
              <w:t>suite à une</w:t>
            </w:r>
            <w:proofErr w:type="gramEnd"/>
            <w:r w:rsidRPr="008779B7">
              <w:rPr>
                <w:rFonts w:ascii="Times New Roman" w:eastAsia="Times New Roman" w:hAnsi="Times New Roman" w:cs="Times New Roman"/>
                <w:kern w:val="0"/>
                <w:sz w:val="24"/>
                <w:szCs w:val="24"/>
                <w:lang w:eastAsia="fr-CH"/>
                <w14:ligatures w14:val="none"/>
              </w:rPr>
              <w:t xml:space="preserve"> erreur de diagnostic</w:t>
            </w:r>
          </w:p>
        </w:tc>
        <w:tc>
          <w:tcPr>
            <w:tcW w:w="0" w:type="auto"/>
            <w:vAlign w:val="center"/>
            <w:hideMark/>
          </w:tcPr>
          <w:p w14:paraId="350B966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(préjudice moral), jurisprudence sur le dommage moral</w:t>
            </w:r>
          </w:p>
        </w:tc>
        <w:tc>
          <w:tcPr>
            <w:tcW w:w="0" w:type="auto"/>
            <w:vAlign w:val="center"/>
            <w:hideMark/>
          </w:tcPr>
          <w:p w14:paraId="1895421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Dommage intangible, relevant de l’atteinte psychologique du patient</w:t>
            </w:r>
          </w:p>
        </w:tc>
      </w:tr>
    </w:tbl>
    <w:p w14:paraId="3502B1FD"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5.3 : Séquelles physiques durables après une intervention</w:t>
      </w:r>
    </w:p>
    <w:p w14:paraId="4372F79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subit une intervention chirurgicale dont la complication n’a été corrigée que partiellement, laissant des séquelles physiques permanentes. Le préjudice, manifesté par une limitation fonctionnelle, est clairement identifié.</w:t>
      </w:r>
    </w:p>
    <w:p w14:paraId="2C9092E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dommage est établi par la présence de séquelles permanentes. Le lien de causalité entre l’erreur médicale durant l’intervention et les conséquences durables est manifeste.</w:t>
      </w:r>
    </w:p>
    <w:p w14:paraId="415F785C"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06994B39" w14:textId="77777777" w:rsidR="008779B7" w:rsidRPr="008779B7" w:rsidRDefault="008779B7" w:rsidP="008779B7">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(réparation intégrale du dommage corporel)</w:t>
      </w:r>
    </w:p>
    <w:p w14:paraId="41E78F77" w14:textId="77777777" w:rsidR="008779B7" w:rsidRPr="008779B7" w:rsidRDefault="008779B7" w:rsidP="008779B7">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relative à la réparation des séquelles post-opératoires</w:t>
      </w:r>
    </w:p>
    <w:p w14:paraId="6B77A63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Les séquelles physiques durables sont facilement quantifiables par des examens médicaux et expertises. Cela permet d’engager la responsabilité et de poser la base d’une indemnisation correspondant à la perte de qualité de vie.</w:t>
      </w:r>
    </w:p>
    <w:p w14:paraId="682F7719"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2"/>
        <w:gridCol w:w="3835"/>
        <w:gridCol w:w="3511"/>
      </w:tblGrid>
      <w:tr w:rsidR="008779B7" w:rsidRPr="008779B7" w14:paraId="01A2E7BB" w14:textId="77777777" w:rsidTr="008779B7">
        <w:trPr>
          <w:tblHeader/>
          <w:tblCellSpacing w:w="15" w:type="dxa"/>
        </w:trPr>
        <w:tc>
          <w:tcPr>
            <w:tcW w:w="0" w:type="auto"/>
            <w:vAlign w:val="center"/>
            <w:hideMark/>
          </w:tcPr>
          <w:p w14:paraId="7FF8D711"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085F90FA"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55498C94"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37098EC0" w14:textId="77777777" w:rsidTr="008779B7">
        <w:trPr>
          <w:tblCellSpacing w:w="15" w:type="dxa"/>
        </w:trPr>
        <w:tc>
          <w:tcPr>
            <w:tcW w:w="0" w:type="auto"/>
            <w:vAlign w:val="center"/>
            <w:hideMark/>
          </w:tcPr>
          <w:p w14:paraId="61A09BD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5.3 – Séquelles physiques durables</w:t>
            </w:r>
          </w:p>
        </w:tc>
        <w:tc>
          <w:tcPr>
            <w:tcW w:w="0" w:type="auto"/>
            <w:vAlign w:val="center"/>
            <w:hideMark/>
          </w:tcPr>
          <w:p w14:paraId="6988708F"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(dommage corporel), jurisprudence médicale</w:t>
            </w:r>
          </w:p>
        </w:tc>
        <w:tc>
          <w:tcPr>
            <w:tcW w:w="0" w:type="auto"/>
            <w:vAlign w:val="center"/>
            <w:hideMark/>
          </w:tcPr>
          <w:p w14:paraId="32530C3F"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Séquelles permanentes justifiant une réparation intégrale</w:t>
            </w:r>
          </w:p>
        </w:tc>
      </w:tr>
    </w:tbl>
    <w:p w14:paraId="04B628A1"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5.4 : Dommage matériel lié à une défaillance d’équipement</w:t>
      </w:r>
    </w:p>
    <w:p w14:paraId="5B4169E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Mise en situation :</w:t>
      </w:r>
      <w:r w:rsidRPr="008779B7">
        <w:rPr>
          <w:rFonts w:ascii="Times New Roman" w:eastAsia="Times New Roman" w:hAnsi="Times New Roman" w:cs="Times New Roman"/>
          <w:kern w:val="0"/>
          <w:sz w:val="24"/>
          <w:szCs w:val="24"/>
          <w:lang w:eastAsia="fr-CH"/>
          <w14:ligatures w14:val="none"/>
        </w:rPr>
        <w:t xml:space="preserve"> Lors d’un acte chirurgical, une défaillance d’un équipement médical provoque une complication, nécessitant une intervention corrective. Le dommage matériel se traduit par des frais supplémentaires, des hospitalisations prolongées et des pertes économiques.</w:t>
      </w:r>
    </w:p>
    <w:p w14:paraId="77888C5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La défaillance technique ayant impacté la sécurité du patient conduit à la reconnaissance d’un dommage matériel réparateur par la responsabilité civile du médecin et de l’établissement.</w:t>
      </w:r>
    </w:p>
    <w:p w14:paraId="4C7D0C7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74544536" w14:textId="77777777" w:rsidR="008779B7" w:rsidRPr="008779B7" w:rsidRDefault="008779B7" w:rsidP="008779B7">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(réparation du dommage matériel)</w:t>
      </w:r>
    </w:p>
    <w:p w14:paraId="5FF01EDA" w14:textId="77777777" w:rsidR="008779B7" w:rsidRPr="008779B7" w:rsidRDefault="008779B7" w:rsidP="008779B7">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Normes de sécurité applicables aux équipements médicaux</w:t>
      </w:r>
    </w:p>
    <w:p w14:paraId="19DC835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preuve d’un dommage matériel repose sur la présentation de factures, devis et expertises techniques. La causalité entre la défaillance et le préjudice économique est alors établie.</w:t>
      </w:r>
    </w:p>
    <w:p w14:paraId="3BA6600A"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6"/>
        <w:gridCol w:w="3925"/>
        <w:gridCol w:w="3917"/>
      </w:tblGrid>
      <w:tr w:rsidR="008779B7" w:rsidRPr="008779B7" w14:paraId="57905606" w14:textId="77777777" w:rsidTr="008779B7">
        <w:trPr>
          <w:tblHeader/>
          <w:tblCellSpacing w:w="15" w:type="dxa"/>
        </w:trPr>
        <w:tc>
          <w:tcPr>
            <w:tcW w:w="0" w:type="auto"/>
            <w:vAlign w:val="center"/>
            <w:hideMark/>
          </w:tcPr>
          <w:p w14:paraId="78BF4083"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5C1ADC79"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0D88E39A"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719DBA2D" w14:textId="77777777" w:rsidTr="008779B7">
        <w:trPr>
          <w:tblCellSpacing w:w="15" w:type="dxa"/>
        </w:trPr>
        <w:tc>
          <w:tcPr>
            <w:tcW w:w="0" w:type="auto"/>
            <w:vAlign w:val="center"/>
            <w:hideMark/>
          </w:tcPr>
          <w:p w14:paraId="5740FE2B"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5.4 – Dommage matériel</w:t>
            </w:r>
          </w:p>
        </w:tc>
        <w:tc>
          <w:tcPr>
            <w:tcW w:w="0" w:type="auto"/>
            <w:vAlign w:val="center"/>
            <w:hideMark/>
          </w:tcPr>
          <w:p w14:paraId="7363973A"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(dommage matériel), normes de sécurité médicale</w:t>
            </w:r>
          </w:p>
        </w:tc>
        <w:tc>
          <w:tcPr>
            <w:tcW w:w="0" w:type="auto"/>
            <w:vAlign w:val="center"/>
            <w:hideMark/>
          </w:tcPr>
          <w:p w14:paraId="4EAD8395"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Preuves économiques et techniques confirment le dommage subi</w:t>
            </w:r>
          </w:p>
        </w:tc>
      </w:tr>
    </w:tbl>
    <w:p w14:paraId="4AFC4263"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5.5 : Préjudice psychologique et perte de qualité de vie</w:t>
      </w:r>
    </w:p>
    <w:p w14:paraId="4A8BBB7D"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Après une intervention mal conduite, un patient constate non seulement des séquelles physiques légères mais surtout un profond bouleversement psychologique qui affecte sa vie professionnelle et personnelle.</w:t>
      </w:r>
    </w:p>
    <w:p w14:paraId="6DA476FC"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préjudice, ici à double volet (corporel et psychologique), doit être réparé intégralement. La reconnaissance de la perte de qualité de vie permet d’ouvrir une indemnisation globale.</w:t>
      </w:r>
    </w:p>
    <w:p w14:paraId="597593D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0EB46C8E" w14:textId="77777777" w:rsidR="008779B7" w:rsidRPr="008779B7" w:rsidRDefault="008779B7" w:rsidP="008779B7">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(réparation du préjudice global incluant le préjudice psychologique)</w:t>
      </w:r>
    </w:p>
    <w:p w14:paraId="3AB53CD5" w14:textId="77777777" w:rsidR="008779B7" w:rsidRPr="008779B7" w:rsidRDefault="008779B7" w:rsidP="008779B7">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en matière de dommage mixte</w:t>
      </w:r>
    </w:p>
    <w:p w14:paraId="55EB888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double nature du préjudice impose une évaluation fine à l’aide d’expertises médicales et psychologiques. La réparation vise à compenser non seulement le dommage physique, mais aussi la détérioration du bien-être mental.</w:t>
      </w:r>
    </w:p>
    <w:p w14:paraId="47E17204"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82"/>
        <w:gridCol w:w="3132"/>
        <w:gridCol w:w="3724"/>
      </w:tblGrid>
      <w:tr w:rsidR="008779B7" w:rsidRPr="008779B7" w14:paraId="04D034B5" w14:textId="77777777" w:rsidTr="008779B7">
        <w:trPr>
          <w:tblHeader/>
          <w:tblCellSpacing w:w="15" w:type="dxa"/>
        </w:trPr>
        <w:tc>
          <w:tcPr>
            <w:tcW w:w="0" w:type="auto"/>
            <w:vAlign w:val="center"/>
            <w:hideMark/>
          </w:tcPr>
          <w:p w14:paraId="2EDFEE87"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5FCE7A2C"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0F31CE9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602CD5DF" w14:textId="77777777" w:rsidTr="008779B7">
        <w:trPr>
          <w:tblCellSpacing w:w="15" w:type="dxa"/>
        </w:trPr>
        <w:tc>
          <w:tcPr>
            <w:tcW w:w="0" w:type="auto"/>
            <w:vAlign w:val="center"/>
            <w:hideMark/>
          </w:tcPr>
          <w:p w14:paraId="4282A4CC"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5.5 – Préjudice psychologique et perte de qualité de vie</w:t>
            </w:r>
          </w:p>
        </w:tc>
        <w:tc>
          <w:tcPr>
            <w:tcW w:w="0" w:type="auto"/>
            <w:vAlign w:val="center"/>
            <w:hideMark/>
          </w:tcPr>
          <w:p w14:paraId="28F903EC"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(préjudice global), jurisprudence (dommage mixte)</w:t>
            </w:r>
          </w:p>
        </w:tc>
        <w:tc>
          <w:tcPr>
            <w:tcW w:w="0" w:type="auto"/>
            <w:vAlign w:val="center"/>
            <w:hideMark/>
          </w:tcPr>
          <w:p w14:paraId="74183818"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Dommage corporel et psychologique combiné nécessitant une indemnisation globale</w:t>
            </w:r>
          </w:p>
        </w:tc>
      </w:tr>
    </w:tbl>
    <w:p w14:paraId="3315AE3E" w14:textId="77777777" w:rsidR="008779B7" w:rsidRPr="008779B7" w:rsidRDefault="008779B7" w:rsidP="008779B7">
      <w:pPr>
        <w:spacing w:before="100" w:beforeAutospacing="1" w:after="100" w:afterAutospacing="1" w:line="240" w:lineRule="auto"/>
        <w:outlineLvl w:val="1"/>
        <w:rPr>
          <w:rFonts w:ascii="Times New Roman" w:eastAsia="Times New Roman" w:hAnsi="Times New Roman" w:cs="Times New Roman"/>
          <w:b/>
          <w:bCs/>
          <w:kern w:val="0"/>
          <w:sz w:val="36"/>
          <w:szCs w:val="36"/>
          <w:lang w:eastAsia="fr-CH"/>
          <w14:ligatures w14:val="none"/>
        </w:rPr>
      </w:pPr>
      <w:r w:rsidRPr="008779B7">
        <w:rPr>
          <w:rFonts w:ascii="Times New Roman" w:eastAsia="Times New Roman" w:hAnsi="Times New Roman" w:cs="Times New Roman"/>
          <w:b/>
          <w:bCs/>
          <w:kern w:val="0"/>
          <w:sz w:val="36"/>
          <w:szCs w:val="36"/>
          <w:lang w:eastAsia="fr-CH"/>
          <w14:ligatures w14:val="none"/>
        </w:rPr>
        <w:t>VI – Le préjudice</w:t>
      </w:r>
    </w:p>
    <w:p w14:paraId="61CA5F62"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lastRenderedPageBreak/>
        <w:t xml:space="preserve">Cas pratique 6.1 : Préjudice corporel à court terme </w:t>
      </w:r>
      <w:proofErr w:type="gramStart"/>
      <w:r w:rsidRPr="008779B7">
        <w:rPr>
          <w:rFonts w:ascii="Times New Roman" w:eastAsia="Times New Roman" w:hAnsi="Times New Roman" w:cs="Times New Roman"/>
          <w:b/>
          <w:bCs/>
          <w:kern w:val="0"/>
          <w:sz w:val="27"/>
          <w:szCs w:val="27"/>
          <w:lang w:eastAsia="fr-CH"/>
          <w14:ligatures w14:val="none"/>
        </w:rPr>
        <w:t>suite à une</w:t>
      </w:r>
      <w:proofErr w:type="gramEnd"/>
      <w:r w:rsidRPr="008779B7">
        <w:rPr>
          <w:rFonts w:ascii="Times New Roman" w:eastAsia="Times New Roman" w:hAnsi="Times New Roman" w:cs="Times New Roman"/>
          <w:b/>
          <w:bCs/>
          <w:kern w:val="0"/>
          <w:sz w:val="27"/>
          <w:szCs w:val="27"/>
          <w:lang w:eastAsia="fr-CH"/>
          <w14:ligatures w14:val="none"/>
        </w:rPr>
        <w:t xml:space="preserve"> erreur de médication</w:t>
      </w:r>
    </w:p>
    <w:p w14:paraId="2BBA0ACB"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reçoit une dose excessive d’un médicament par erreur. Ce surdosage entraîne des symptômes sévères mais transitoires, nécessitant une hospitalisation de courte durée.</w:t>
      </w:r>
    </w:p>
    <w:p w14:paraId="1B3CDF9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préjudice corporel, même s’il est de courte durée, est indemnisable dès lors que la faute médicale est prouvée. La responsabilité est engagée pour compenser la souffrance physique et la privation temporaire de bien-être.</w:t>
      </w:r>
    </w:p>
    <w:p w14:paraId="0959A50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4F1BDD59" w14:textId="77777777" w:rsidR="008779B7" w:rsidRPr="008779B7" w:rsidRDefault="008779B7" w:rsidP="008779B7">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(réparation du dommage corporel)</w:t>
      </w:r>
    </w:p>
    <w:p w14:paraId="7B076BD5" w14:textId="77777777" w:rsidR="008779B7" w:rsidRPr="008779B7" w:rsidRDefault="008779B7" w:rsidP="008779B7">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de déontologie FMH</w:t>
      </w:r>
    </w:p>
    <w:p w14:paraId="66C0B5AD"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correction du surdosage impose une reconnaissance du préjudice, sans minimiser l’impact sur la santé du patient. Le caractère temporaire n’en réduit pas la légitimité à indemniser.</w:t>
      </w:r>
    </w:p>
    <w:p w14:paraId="0A068BE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6"/>
        <w:gridCol w:w="3909"/>
        <w:gridCol w:w="3503"/>
      </w:tblGrid>
      <w:tr w:rsidR="008779B7" w:rsidRPr="008779B7" w14:paraId="3170020D" w14:textId="77777777" w:rsidTr="008779B7">
        <w:trPr>
          <w:tblHeader/>
          <w:tblCellSpacing w:w="15" w:type="dxa"/>
        </w:trPr>
        <w:tc>
          <w:tcPr>
            <w:tcW w:w="0" w:type="auto"/>
            <w:vAlign w:val="center"/>
            <w:hideMark/>
          </w:tcPr>
          <w:p w14:paraId="3831355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52D92FF0"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7110ED64"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12712EFF" w14:textId="77777777" w:rsidTr="008779B7">
        <w:trPr>
          <w:tblCellSpacing w:w="15" w:type="dxa"/>
        </w:trPr>
        <w:tc>
          <w:tcPr>
            <w:tcW w:w="0" w:type="auto"/>
            <w:vAlign w:val="center"/>
            <w:hideMark/>
          </w:tcPr>
          <w:p w14:paraId="310B75C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6.1 – Préjudice corporel à court terme</w:t>
            </w:r>
          </w:p>
        </w:tc>
        <w:tc>
          <w:tcPr>
            <w:tcW w:w="0" w:type="auto"/>
            <w:vAlign w:val="center"/>
            <w:hideMark/>
          </w:tcPr>
          <w:p w14:paraId="1FB230F5"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(dommage corporel), Code FMH (erreur de médication)</w:t>
            </w:r>
          </w:p>
        </w:tc>
        <w:tc>
          <w:tcPr>
            <w:tcW w:w="0" w:type="auto"/>
            <w:vAlign w:val="center"/>
            <w:hideMark/>
          </w:tcPr>
          <w:p w14:paraId="120CDC6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Surdosage causant un préjudice temporaire mais indemnisable</w:t>
            </w:r>
          </w:p>
        </w:tc>
      </w:tr>
    </w:tbl>
    <w:p w14:paraId="1B24A79C"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 xml:space="preserve">Cas pratique 6.2 : Préjudice moral </w:t>
      </w:r>
      <w:proofErr w:type="gramStart"/>
      <w:r w:rsidRPr="008779B7">
        <w:rPr>
          <w:rFonts w:ascii="Times New Roman" w:eastAsia="Times New Roman" w:hAnsi="Times New Roman" w:cs="Times New Roman"/>
          <w:b/>
          <w:bCs/>
          <w:kern w:val="0"/>
          <w:sz w:val="27"/>
          <w:szCs w:val="27"/>
          <w:lang w:eastAsia="fr-CH"/>
          <w14:ligatures w14:val="none"/>
        </w:rPr>
        <w:t>suite à une</w:t>
      </w:r>
      <w:proofErr w:type="gramEnd"/>
      <w:r w:rsidRPr="008779B7">
        <w:rPr>
          <w:rFonts w:ascii="Times New Roman" w:eastAsia="Times New Roman" w:hAnsi="Times New Roman" w:cs="Times New Roman"/>
          <w:b/>
          <w:bCs/>
          <w:kern w:val="0"/>
          <w:sz w:val="27"/>
          <w:szCs w:val="27"/>
          <w:lang w:eastAsia="fr-CH"/>
          <w14:ligatures w14:val="none"/>
        </w:rPr>
        <w:t xml:space="preserve"> violation du devoir d’information</w:t>
      </w:r>
    </w:p>
    <w:p w14:paraId="683EBD4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apprend tardivement que son médecin n’a pas respecté le devoir d’information complet concernant les risques d’un traitement, ce qui a généré une anxiété importante et une détresse psychologique.</w:t>
      </w:r>
    </w:p>
    <w:p w14:paraId="49F009B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La violation du devoir d’information entraîne un préjudice moral. L’invalidation du consentement éclairé justifie une réparation destinée à compenser la souffrance psychologique.</w:t>
      </w:r>
    </w:p>
    <w:p w14:paraId="18B1587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669AD245" w14:textId="77777777" w:rsidR="008779B7" w:rsidRPr="008779B7" w:rsidRDefault="008779B7" w:rsidP="008779B7">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(indemnisation du préjudice moral)</w:t>
      </w:r>
    </w:p>
    <w:p w14:paraId="5C819E7F" w14:textId="77777777" w:rsidR="008779B7" w:rsidRPr="008779B7" w:rsidRDefault="008779B7" w:rsidP="008779B7">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sur le défaut d’information</w:t>
      </w:r>
    </w:p>
    <w:p w14:paraId="73AA4A85"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L’aspect moral du préjudice se mesure par l’atteinte à la dignité et la détresse éprouvée. La réparation vise à restaurer, autant que possible, la situation psychologique du patient.</w:t>
      </w:r>
    </w:p>
    <w:p w14:paraId="66F9CF1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3"/>
        <w:gridCol w:w="4297"/>
        <w:gridCol w:w="3808"/>
      </w:tblGrid>
      <w:tr w:rsidR="008779B7" w:rsidRPr="008779B7" w14:paraId="025D1246" w14:textId="77777777" w:rsidTr="008779B7">
        <w:trPr>
          <w:tblHeader/>
          <w:tblCellSpacing w:w="15" w:type="dxa"/>
        </w:trPr>
        <w:tc>
          <w:tcPr>
            <w:tcW w:w="0" w:type="auto"/>
            <w:vAlign w:val="center"/>
            <w:hideMark/>
          </w:tcPr>
          <w:p w14:paraId="188AB273"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1BEC9A61"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5EEB4258"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46E18A35" w14:textId="77777777" w:rsidTr="008779B7">
        <w:trPr>
          <w:tblCellSpacing w:w="15" w:type="dxa"/>
        </w:trPr>
        <w:tc>
          <w:tcPr>
            <w:tcW w:w="0" w:type="auto"/>
            <w:vAlign w:val="center"/>
            <w:hideMark/>
          </w:tcPr>
          <w:p w14:paraId="4792B4E9"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6.2 – Préjudice moral</w:t>
            </w:r>
          </w:p>
        </w:tc>
        <w:tc>
          <w:tcPr>
            <w:tcW w:w="0" w:type="auto"/>
            <w:vAlign w:val="center"/>
            <w:hideMark/>
          </w:tcPr>
          <w:p w14:paraId="6233324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(préjudice moral), jurisprudence sur le devoir d’information</w:t>
            </w:r>
          </w:p>
        </w:tc>
        <w:tc>
          <w:tcPr>
            <w:tcW w:w="0" w:type="auto"/>
            <w:vAlign w:val="center"/>
            <w:hideMark/>
          </w:tcPr>
          <w:p w14:paraId="611D94C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Anxiété et détresse psychologique dues à un défaut d’information</w:t>
            </w:r>
          </w:p>
        </w:tc>
      </w:tr>
    </w:tbl>
    <w:p w14:paraId="557FED04"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lastRenderedPageBreak/>
        <w:t>Cas pratique 6.3 : Préjudice économique lié à une incapacité de travail</w:t>
      </w:r>
    </w:p>
    <w:p w14:paraId="27B4A38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w:t>
      </w:r>
      <w:proofErr w:type="gramStart"/>
      <w:r w:rsidRPr="008779B7">
        <w:rPr>
          <w:rFonts w:ascii="Times New Roman" w:eastAsia="Times New Roman" w:hAnsi="Times New Roman" w:cs="Times New Roman"/>
          <w:kern w:val="0"/>
          <w:sz w:val="24"/>
          <w:szCs w:val="24"/>
          <w:lang w:eastAsia="fr-CH"/>
          <w14:ligatures w14:val="none"/>
        </w:rPr>
        <w:t>Suite à une</w:t>
      </w:r>
      <w:proofErr w:type="gramEnd"/>
      <w:r w:rsidRPr="008779B7">
        <w:rPr>
          <w:rFonts w:ascii="Times New Roman" w:eastAsia="Times New Roman" w:hAnsi="Times New Roman" w:cs="Times New Roman"/>
          <w:kern w:val="0"/>
          <w:sz w:val="24"/>
          <w:szCs w:val="24"/>
          <w:lang w:eastAsia="fr-CH"/>
          <w14:ligatures w14:val="none"/>
        </w:rPr>
        <w:t xml:space="preserve"> intervention dommageable, un patient est temporairement dans l’incapacité de travailler, entraînant une perte de revenus significative et des frais médicaux supplémentaires.</w:t>
      </w:r>
    </w:p>
    <w:p w14:paraId="57F202D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La perte économique est clairement identifiable et </w:t>
      </w:r>
      <w:proofErr w:type="spellStart"/>
      <w:r w:rsidRPr="008779B7">
        <w:rPr>
          <w:rFonts w:ascii="Times New Roman" w:eastAsia="Times New Roman" w:hAnsi="Times New Roman" w:cs="Times New Roman"/>
          <w:kern w:val="0"/>
          <w:sz w:val="24"/>
          <w:szCs w:val="24"/>
          <w:lang w:eastAsia="fr-CH"/>
          <w14:ligatures w14:val="none"/>
        </w:rPr>
        <w:t>indemnizable</w:t>
      </w:r>
      <w:proofErr w:type="spellEnd"/>
      <w:r w:rsidRPr="008779B7">
        <w:rPr>
          <w:rFonts w:ascii="Times New Roman" w:eastAsia="Times New Roman" w:hAnsi="Times New Roman" w:cs="Times New Roman"/>
          <w:kern w:val="0"/>
          <w:sz w:val="24"/>
          <w:szCs w:val="24"/>
          <w:lang w:eastAsia="fr-CH"/>
          <w14:ligatures w14:val="none"/>
        </w:rPr>
        <w:t>. La responsabilité du médecin est engagée dès lors que le lien de causalité entre l’erreur médicale et l’incapacité de travail est établi.</w:t>
      </w:r>
    </w:p>
    <w:p w14:paraId="7A634CDD"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4E88AFEC" w14:textId="77777777" w:rsidR="008779B7" w:rsidRPr="008779B7" w:rsidRDefault="008779B7" w:rsidP="008779B7">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(réparation du préjudice économique)</w:t>
      </w:r>
    </w:p>
    <w:p w14:paraId="6CD1D177" w14:textId="77777777" w:rsidR="008779B7" w:rsidRPr="008779B7" w:rsidRDefault="008779B7" w:rsidP="008779B7">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relative aux indemnités d’incapacité de travail pour faute médicale</w:t>
      </w:r>
    </w:p>
    <w:p w14:paraId="485DAF2D"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quantification du préjudice économique se fait à partir de la perte réelle de revenus et des frais engagés pour la réadaptation. L’indemnisation vise à compenser intégralement cette perte.</w:t>
      </w:r>
    </w:p>
    <w:p w14:paraId="4D162F6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6"/>
        <w:gridCol w:w="3994"/>
        <w:gridCol w:w="3768"/>
      </w:tblGrid>
      <w:tr w:rsidR="008779B7" w:rsidRPr="008779B7" w14:paraId="6BFCFD8D" w14:textId="77777777" w:rsidTr="008779B7">
        <w:trPr>
          <w:tblHeader/>
          <w:tblCellSpacing w:w="15" w:type="dxa"/>
        </w:trPr>
        <w:tc>
          <w:tcPr>
            <w:tcW w:w="0" w:type="auto"/>
            <w:vAlign w:val="center"/>
            <w:hideMark/>
          </w:tcPr>
          <w:p w14:paraId="67249ADD"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02560F71"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3A9B1EE5"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28394A6F" w14:textId="77777777" w:rsidTr="008779B7">
        <w:trPr>
          <w:tblCellSpacing w:w="15" w:type="dxa"/>
        </w:trPr>
        <w:tc>
          <w:tcPr>
            <w:tcW w:w="0" w:type="auto"/>
            <w:vAlign w:val="center"/>
            <w:hideMark/>
          </w:tcPr>
          <w:p w14:paraId="6397EA3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6.3 – Préjudice économique</w:t>
            </w:r>
          </w:p>
        </w:tc>
        <w:tc>
          <w:tcPr>
            <w:tcW w:w="0" w:type="auto"/>
            <w:vAlign w:val="center"/>
            <w:hideMark/>
          </w:tcPr>
          <w:p w14:paraId="5600C0F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(dommage économique), jurisprudence (incapacité de travail)</w:t>
            </w:r>
          </w:p>
        </w:tc>
        <w:tc>
          <w:tcPr>
            <w:tcW w:w="0" w:type="auto"/>
            <w:vAlign w:val="center"/>
            <w:hideMark/>
          </w:tcPr>
          <w:p w14:paraId="75F7385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Perte de revenus et frais supplémentaires dus à une incapacité validée</w:t>
            </w:r>
          </w:p>
        </w:tc>
      </w:tr>
    </w:tbl>
    <w:p w14:paraId="38E93C4C"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Cas pratique 6.4 : Préjudice mixte (corporel et moral) post-opératoire</w:t>
      </w:r>
    </w:p>
    <w:p w14:paraId="66BAFD62"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Après une opération mal conduite, un patient subit à la fois des complications physiques (douleurs chroniques) et une détérioration de sa santé mentale, affectant sa vie sociale et professionnelle de façon durable.</w:t>
      </w:r>
    </w:p>
    <w:p w14:paraId="2E97874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Le préjudice mixte exige une analyse globale de l’atteinte tant physique que psychologique. La réparation doit couvrir l’intégralité des conséquences négatives découlant de la faute médicale.</w:t>
      </w:r>
    </w:p>
    <w:p w14:paraId="062D46C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1200D234" w14:textId="77777777" w:rsidR="008779B7" w:rsidRPr="008779B7" w:rsidRDefault="008779B7" w:rsidP="008779B7">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(préjudice global incluant aspects corporels et moraux)</w:t>
      </w:r>
    </w:p>
    <w:p w14:paraId="448CD82D" w14:textId="77777777" w:rsidR="008779B7" w:rsidRPr="008779B7" w:rsidRDefault="008779B7" w:rsidP="008779B7">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sur les cas de dommage mixte</w:t>
      </w:r>
    </w:p>
    <w:p w14:paraId="6A4E148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coexistence des préjudices corporel et moral complexifie l’évaluation. Des expertises conjointes permettent habituellement de chiffrer l’indemnisation afin de restaurer la qualité de vie perdue.</w:t>
      </w:r>
    </w:p>
    <w:p w14:paraId="50768B9C"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8"/>
        <w:gridCol w:w="3839"/>
        <w:gridCol w:w="4281"/>
      </w:tblGrid>
      <w:tr w:rsidR="008779B7" w:rsidRPr="008779B7" w14:paraId="335519C2" w14:textId="77777777" w:rsidTr="008779B7">
        <w:trPr>
          <w:tblHeader/>
          <w:tblCellSpacing w:w="15" w:type="dxa"/>
        </w:trPr>
        <w:tc>
          <w:tcPr>
            <w:tcW w:w="0" w:type="auto"/>
            <w:vAlign w:val="center"/>
            <w:hideMark/>
          </w:tcPr>
          <w:p w14:paraId="6ED6B038"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3D33384C"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7103A16F"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2D1A35FB" w14:textId="77777777" w:rsidTr="008779B7">
        <w:trPr>
          <w:tblCellSpacing w:w="15" w:type="dxa"/>
        </w:trPr>
        <w:tc>
          <w:tcPr>
            <w:tcW w:w="0" w:type="auto"/>
            <w:vAlign w:val="center"/>
            <w:hideMark/>
          </w:tcPr>
          <w:p w14:paraId="62C9F9D2"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6.4 – Préjudice mixte</w:t>
            </w:r>
          </w:p>
        </w:tc>
        <w:tc>
          <w:tcPr>
            <w:tcW w:w="0" w:type="auto"/>
            <w:vAlign w:val="center"/>
            <w:hideMark/>
          </w:tcPr>
          <w:p w14:paraId="7981DF0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 (préjudice global), jurisprudence (dommage mixte)</w:t>
            </w:r>
          </w:p>
        </w:tc>
        <w:tc>
          <w:tcPr>
            <w:tcW w:w="0" w:type="auto"/>
            <w:vAlign w:val="center"/>
            <w:hideMark/>
          </w:tcPr>
          <w:p w14:paraId="06560569"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Complications physiques et morales demandant une indemnisation combinée</w:t>
            </w:r>
          </w:p>
        </w:tc>
      </w:tr>
    </w:tbl>
    <w:p w14:paraId="6195B7CC"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lastRenderedPageBreak/>
        <w:t>Cas pratique 6.5 : Préjudice durable avec invalidité permanente</w:t>
      </w:r>
    </w:p>
    <w:p w14:paraId="47B8F03D"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Mise en situation :</w:t>
      </w:r>
      <w:r w:rsidRPr="008779B7">
        <w:rPr>
          <w:rFonts w:ascii="Times New Roman" w:eastAsia="Times New Roman" w:hAnsi="Times New Roman" w:cs="Times New Roman"/>
          <w:kern w:val="0"/>
          <w:sz w:val="24"/>
          <w:szCs w:val="24"/>
          <w:lang w:eastAsia="fr-CH"/>
          <w14:ligatures w14:val="none"/>
        </w:rPr>
        <w:t xml:space="preserve"> Un patient subit, à la suite d'une erreur médicale, une invalidité partielle permanente. Cette invalidité altère durablement sa capacité de travail et sa vie quotidienne, nécessitant une réparation à long terme.</w:t>
      </w:r>
    </w:p>
    <w:p w14:paraId="1CE539EA"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 argumentée :</w:t>
      </w:r>
      <w:r w:rsidRPr="008779B7">
        <w:rPr>
          <w:rFonts w:ascii="Times New Roman" w:eastAsia="Times New Roman" w:hAnsi="Times New Roman" w:cs="Times New Roman"/>
          <w:kern w:val="0"/>
          <w:sz w:val="24"/>
          <w:szCs w:val="24"/>
          <w:lang w:eastAsia="fr-CH"/>
          <w14:ligatures w14:val="none"/>
        </w:rPr>
        <w:t xml:space="preserve"> L’invalidité permanente représente le préjudice le plus lourd. La réparation se base sur l’évaluation de la perte de qualité de vie, la réduction de revenus futurs et les frais de réadaptation à long terme.</w:t>
      </w:r>
    </w:p>
    <w:p w14:paraId="20EB931C"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 :</w:t>
      </w:r>
    </w:p>
    <w:p w14:paraId="08776F7E" w14:textId="77777777" w:rsidR="008779B7" w:rsidRPr="008779B7" w:rsidRDefault="008779B7" w:rsidP="008779B7">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Code civil suisse</w:t>
      </w:r>
      <w:r w:rsidRPr="008779B7">
        <w:rPr>
          <w:rFonts w:ascii="Times New Roman" w:eastAsia="Times New Roman" w:hAnsi="Times New Roman" w:cs="Times New Roman"/>
          <w:kern w:val="0"/>
          <w:sz w:val="24"/>
          <w:szCs w:val="24"/>
          <w:lang w:eastAsia="fr-CH"/>
          <w14:ligatures w14:val="none"/>
        </w:rPr>
        <w:t xml:space="preserve"> (indemnisation pour invalidité permanente)</w:t>
      </w:r>
    </w:p>
    <w:p w14:paraId="68FCF1D6" w14:textId="77777777" w:rsidR="008779B7" w:rsidRPr="008779B7" w:rsidRDefault="008779B7" w:rsidP="008779B7">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Jurisprudence relative aux indemnisations pour préjudice durable</w:t>
      </w:r>
    </w:p>
    <w:p w14:paraId="4AD6A05E"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 approfondie :</w:t>
      </w:r>
      <w:r w:rsidRPr="008779B7">
        <w:rPr>
          <w:rFonts w:ascii="Times New Roman" w:eastAsia="Times New Roman" w:hAnsi="Times New Roman" w:cs="Times New Roman"/>
          <w:kern w:val="0"/>
          <w:sz w:val="24"/>
          <w:szCs w:val="24"/>
          <w:lang w:eastAsia="fr-CH"/>
          <w14:ligatures w14:val="none"/>
        </w:rPr>
        <w:t xml:space="preserve"> La gravité de l’invalidité impose une indemnisation conséquente. L’évaluation se fonde sur des barèmes reconnus et doit prendre en compte tant le dommage économique que la dimension humaine et psychologique du préjudice.</w:t>
      </w:r>
    </w:p>
    <w:p w14:paraId="26D3192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67"/>
        <w:gridCol w:w="1687"/>
        <w:gridCol w:w="889"/>
      </w:tblGrid>
      <w:tr w:rsidR="008779B7" w:rsidRPr="008779B7" w14:paraId="1CD9CA45" w14:textId="77777777" w:rsidTr="008779B7">
        <w:trPr>
          <w:tblHeader/>
          <w:tblCellSpacing w:w="15" w:type="dxa"/>
        </w:trPr>
        <w:tc>
          <w:tcPr>
            <w:tcW w:w="0" w:type="auto"/>
            <w:vAlign w:val="center"/>
            <w:hideMark/>
          </w:tcPr>
          <w:p w14:paraId="0B77DECF"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10AB5A2F"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18AF6C48"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3C7FCDE0" w14:textId="77777777" w:rsidTr="008779B7">
        <w:trPr>
          <w:tblCellSpacing w:w="15" w:type="dxa"/>
        </w:trPr>
        <w:tc>
          <w:tcPr>
            <w:tcW w:w="0" w:type="auto"/>
            <w:vAlign w:val="center"/>
            <w:hideMark/>
          </w:tcPr>
          <w:p w14:paraId="6A3170D0"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6.5 – Préjudice durable avec invalidité</w:t>
            </w:r>
          </w:p>
        </w:tc>
        <w:tc>
          <w:tcPr>
            <w:tcW w:w="0" w:type="auto"/>
            <w:vAlign w:val="center"/>
            <w:hideMark/>
          </w:tcPr>
          <w:p w14:paraId="05C1BAC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w:t>
            </w:r>
          </w:p>
        </w:tc>
        <w:tc>
          <w:tcPr>
            <w:tcW w:w="0" w:type="auto"/>
            <w:vAlign w:val="center"/>
            <w:hideMark/>
          </w:tcPr>
          <w:p w14:paraId="7427F8C7" w14:textId="77777777" w:rsidR="008779B7" w:rsidRPr="008779B7" w:rsidRDefault="008779B7" w:rsidP="008779B7">
            <w:pPr>
              <w:spacing w:after="0" w:line="240" w:lineRule="auto"/>
              <w:rPr>
                <w:rFonts w:ascii="Times New Roman" w:eastAsia="Times New Roman" w:hAnsi="Times New Roman" w:cs="Times New Roman"/>
                <w:kern w:val="0"/>
                <w:sz w:val="20"/>
                <w:szCs w:val="20"/>
                <w:lang w:eastAsia="fr-CH"/>
                <w14:ligatures w14:val="none"/>
              </w:rPr>
            </w:pPr>
          </w:p>
        </w:tc>
      </w:tr>
    </w:tbl>
    <w:p w14:paraId="7158E52A"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I – Le tort moral</w:t>
      </w:r>
    </w:p>
    <w:p w14:paraId="7A5C74AA" w14:textId="77777777" w:rsidR="008779B7" w:rsidRPr="008779B7" w:rsidRDefault="008779B7" w:rsidP="008779B7">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 1.1 : Souffrance psychologique après une erreur médicale</w:t>
      </w:r>
    </w:p>
    <w:p w14:paraId="47F49A1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Un patient subit une intervention chirurgicale qui ne se déroule pas comme prévu. L’erreur du médecin entraîne des complications physiques, mais aussi une détresse psychologique importante. Le patient développe une anxiété sévère et des troubles du sommeil.</w:t>
      </w:r>
    </w:p>
    <w:p w14:paraId="0DC73ED8" w14:textId="77777777" w:rsidR="008779B7" w:rsidRPr="008779B7" w:rsidRDefault="008779B7" w:rsidP="008779B7">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w:t>
      </w:r>
      <w:r w:rsidRPr="008779B7">
        <w:rPr>
          <w:rFonts w:ascii="Times New Roman" w:eastAsia="Times New Roman" w:hAnsi="Times New Roman" w:cs="Times New Roman"/>
          <w:kern w:val="0"/>
          <w:sz w:val="24"/>
          <w:szCs w:val="24"/>
          <w:lang w:eastAsia="fr-CH"/>
          <w14:ligatures w14:val="none"/>
        </w:rPr>
        <w:t xml:space="preserve"> : Le tort moral est caractérisé par la souffrance psychologique causée par l’erreur médicale. Il peut être indemnisé indépendamment du préjudice physique.</w:t>
      </w:r>
    </w:p>
    <w:p w14:paraId="2FC28E94" w14:textId="77777777" w:rsidR="008779B7" w:rsidRPr="008779B7" w:rsidRDefault="008779B7" w:rsidP="008779B7">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r w:rsidRPr="008779B7">
        <w:rPr>
          <w:rFonts w:ascii="Times New Roman" w:eastAsia="Times New Roman" w:hAnsi="Times New Roman" w:cs="Times New Roman"/>
          <w:kern w:val="0"/>
          <w:sz w:val="24"/>
          <w:szCs w:val="24"/>
          <w:lang w:eastAsia="fr-CH"/>
          <w14:ligatures w14:val="none"/>
        </w:rPr>
        <w:t xml:space="preserve"> : Articles </w:t>
      </w:r>
      <w:r w:rsidRPr="008779B7">
        <w:rPr>
          <w:rFonts w:ascii="Times New Roman" w:eastAsia="Times New Roman" w:hAnsi="Times New Roman" w:cs="Times New Roman"/>
          <w:b/>
          <w:bCs/>
          <w:kern w:val="0"/>
          <w:sz w:val="24"/>
          <w:szCs w:val="24"/>
          <w:lang w:eastAsia="fr-CH"/>
          <w14:ligatures w14:val="none"/>
        </w:rPr>
        <w:t>47 et 49 du Code des obligations suisse</w:t>
      </w:r>
      <w:r w:rsidRPr="008779B7">
        <w:rPr>
          <w:rFonts w:ascii="Times New Roman" w:eastAsia="Times New Roman" w:hAnsi="Times New Roman" w:cs="Times New Roman"/>
          <w:kern w:val="0"/>
          <w:sz w:val="24"/>
          <w:szCs w:val="24"/>
          <w:lang w:eastAsia="fr-CH"/>
          <w14:ligatures w14:val="none"/>
        </w:rPr>
        <w:t>.</w:t>
      </w:r>
    </w:p>
    <w:p w14:paraId="55E4A0C0" w14:textId="77777777" w:rsidR="008779B7" w:rsidRPr="008779B7" w:rsidRDefault="008779B7" w:rsidP="008779B7">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w:t>
      </w:r>
      <w:r w:rsidRPr="008779B7">
        <w:rPr>
          <w:rFonts w:ascii="Times New Roman" w:eastAsia="Times New Roman" w:hAnsi="Times New Roman" w:cs="Times New Roman"/>
          <w:kern w:val="0"/>
          <w:sz w:val="24"/>
          <w:szCs w:val="24"/>
          <w:lang w:eastAsia="fr-CH"/>
          <w14:ligatures w14:val="none"/>
        </w:rPr>
        <w:t xml:space="preserve"> : Le tort moral est une atteinte immatérielle à la personnalité du patient. Il doit être prouvé par des expertises médicales et psychologiques.</w:t>
      </w:r>
    </w:p>
    <w:p w14:paraId="3EF7CF8D" w14:textId="77777777" w:rsidR="008779B7" w:rsidRPr="008779B7" w:rsidRDefault="008779B7" w:rsidP="008779B7">
      <w:pPr>
        <w:numPr>
          <w:ilvl w:val="0"/>
          <w:numId w:val="33"/>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w:t>
      </w:r>
      <w:r w:rsidRPr="008779B7">
        <w:rPr>
          <w:rFonts w:ascii="Times New Roman" w:eastAsia="Times New Roman" w:hAnsi="Times New Roman" w:cs="Times New Roman"/>
          <w:kern w:val="0"/>
          <w:sz w:val="24"/>
          <w:szCs w:val="24"/>
          <w:lang w:eastAsia="fr-CH"/>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8"/>
        <w:gridCol w:w="1667"/>
        <w:gridCol w:w="4033"/>
      </w:tblGrid>
      <w:tr w:rsidR="008779B7" w:rsidRPr="008779B7" w14:paraId="20E0AB93" w14:textId="77777777" w:rsidTr="008779B7">
        <w:trPr>
          <w:tblHeader/>
          <w:tblCellSpacing w:w="15" w:type="dxa"/>
        </w:trPr>
        <w:tc>
          <w:tcPr>
            <w:tcW w:w="0" w:type="auto"/>
            <w:vAlign w:val="center"/>
            <w:hideMark/>
          </w:tcPr>
          <w:p w14:paraId="43E219FB"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540B9025"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5AA5ACBD"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3B4BDD54" w14:textId="77777777" w:rsidTr="008779B7">
        <w:trPr>
          <w:tblCellSpacing w:w="15" w:type="dxa"/>
        </w:trPr>
        <w:tc>
          <w:tcPr>
            <w:tcW w:w="0" w:type="auto"/>
            <w:vAlign w:val="center"/>
            <w:hideMark/>
          </w:tcPr>
          <w:p w14:paraId="6622E2D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1.1 – Souffrance psychologique</w:t>
            </w:r>
          </w:p>
        </w:tc>
        <w:tc>
          <w:tcPr>
            <w:tcW w:w="0" w:type="auto"/>
            <w:vAlign w:val="center"/>
            <w:hideMark/>
          </w:tcPr>
          <w:p w14:paraId="63664EE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Art. 47 et 49 CO</w:t>
            </w:r>
          </w:p>
        </w:tc>
        <w:tc>
          <w:tcPr>
            <w:tcW w:w="0" w:type="auto"/>
            <w:vAlign w:val="center"/>
            <w:hideMark/>
          </w:tcPr>
          <w:p w14:paraId="66ED5E69"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Tort moral causé par une erreur médicale</w:t>
            </w:r>
          </w:p>
        </w:tc>
      </w:tr>
    </w:tbl>
    <w:p w14:paraId="6876AAAB"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II – Le but de l’indemnité pour tort moral</w:t>
      </w:r>
    </w:p>
    <w:p w14:paraId="2B7E4314" w14:textId="77777777" w:rsidR="008779B7" w:rsidRPr="008779B7" w:rsidRDefault="008779B7" w:rsidP="008779B7">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 2.1 : Compensation financière pour un traumatisme</w:t>
      </w:r>
    </w:p>
    <w:p w14:paraId="25E031C1"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Un patient victime d’une faute médicale grave réclame une indemnité pour tort moral. Il argue que la souffrance psychologique qu’il endure affecte sa qualité de vie.</w:t>
      </w:r>
    </w:p>
    <w:p w14:paraId="24E18AA3" w14:textId="77777777" w:rsidR="008779B7" w:rsidRPr="008779B7" w:rsidRDefault="008779B7" w:rsidP="008779B7">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w:t>
      </w:r>
      <w:r w:rsidRPr="008779B7">
        <w:rPr>
          <w:rFonts w:ascii="Times New Roman" w:eastAsia="Times New Roman" w:hAnsi="Times New Roman" w:cs="Times New Roman"/>
          <w:kern w:val="0"/>
          <w:sz w:val="24"/>
          <w:szCs w:val="24"/>
          <w:lang w:eastAsia="fr-CH"/>
          <w14:ligatures w14:val="none"/>
        </w:rPr>
        <w:t xml:space="preserve"> : L’indemnité pour tort moral vise à compenser la souffrance morale et psychologique du patient.</w:t>
      </w:r>
    </w:p>
    <w:p w14:paraId="7B905AAA" w14:textId="77777777" w:rsidR="008779B7" w:rsidRPr="008779B7" w:rsidRDefault="008779B7" w:rsidP="008779B7">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Articles de loi</w:t>
      </w:r>
      <w:r w:rsidRPr="008779B7">
        <w:rPr>
          <w:rFonts w:ascii="Times New Roman" w:eastAsia="Times New Roman" w:hAnsi="Times New Roman" w:cs="Times New Roman"/>
          <w:kern w:val="0"/>
          <w:sz w:val="24"/>
          <w:szCs w:val="24"/>
          <w:lang w:eastAsia="fr-CH"/>
          <w14:ligatures w14:val="none"/>
        </w:rPr>
        <w:t xml:space="preserve"> : Articles </w:t>
      </w:r>
      <w:r w:rsidRPr="008779B7">
        <w:rPr>
          <w:rFonts w:ascii="Times New Roman" w:eastAsia="Times New Roman" w:hAnsi="Times New Roman" w:cs="Times New Roman"/>
          <w:b/>
          <w:bCs/>
          <w:kern w:val="0"/>
          <w:sz w:val="24"/>
          <w:szCs w:val="24"/>
          <w:lang w:eastAsia="fr-CH"/>
          <w14:ligatures w14:val="none"/>
        </w:rPr>
        <w:t>47 et 49 CO</w:t>
      </w:r>
      <w:r w:rsidRPr="008779B7">
        <w:rPr>
          <w:rFonts w:ascii="Times New Roman" w:eastAsia="Times New Roman" w:hAnsi="Times New Roman" w:cs="Times New Roman"/>
          <w:kern w:val="0"/>
          <w:sz w:val="24"/>
          <w:szCs w:val="24"/>
          <w:lang w:eastAsia="fr-CH"/>
          <w14:ligatures w14:val="none"/>
        </w:rPr>
        <w:t>.</w:t>
      </w:r>
    </w:p>
    <w:p w14:paraId="6BF32896" w14:textId="77777777" w:rsidR="008779B7" w:rsidRPr="008779B7" w:rsidRDefault="008779B7" w:rsidP="008779B7">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w:t>
      </w:r>
      <w:r w:rsidRPr="008779B7">
        <w:rPr>
          <w:rFonts w:ascii="Times New Roman" w:eastAsia="Times New Roman" w:hAnsi="Times New Roman" w:cs="Times New Roman"/>
          <w:kern w:val="0"/>
          <w:sz w:val="24"/>
          <w:szCs w:val="24"/>
          <w:lang w:eastAsia="fr-CH"/>
          <w14:ligatures w14:val="none"/>
        </w:rPr>
        <w:t xml:space="preserve"> : L’indemnité pour tort moral n’a pas pour but de réparer un dommage matériel, mais d’apporter une compensation pour la douleur morale.</w:t>
      </w:r>
    </w:p>
    <w:p w14:paraId="6A68F402" w14:textId="77777777" w:rsidR="008779B7" w:rsidRPr="008779B7" w:rsidRDefault="008779B7" w:rsidP="008779B7">
      <w:pPr>
        <w:numPr>
          <w:ilvl w:val="0"/>
          <w:numId w:val="34"/>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w:t>
      </w:r>
      <w:r w:rsidRPr="008779B7">
        <w:rPr>
          <w:rFonts w:ascii="Times New Roman" w:eastAsia="Times New Roman" w:hAnsi="Times New Roman" w:cs="Times New Roman"/>
          <w:kern w:val="0"/>
          <w:sz w:val="24"/>
          <w:szCs w:val="24"/>
          <w:lang w:eastAsia="fr-CH"/>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21"/>
        <w:gridCol w:w="1667"/>
        <w:gridCol w:w="3748"/>
      </w:tblGrid>
      <w:tr w:rsidR="008779B7" w:rsidRPr="008779B7" w14:paraId="0F8C8BFA" w14:textId="77777777" w:rsidTr="008779B7">
        <w:trPr>
          <w:tblHeader/>
          <w:tblCellSpacing w:w="15" w:type="dxa"/>
        </w:trPr>
        <w:tc>
          <w:tcPr>
            <w:tcW w:w="0" w:type="auto"/>
            <w:vAlign w:val="center"/>
            <w:hideMark/>
          </w:tcPr>
          <w:p w14:paraId="5765D1C2"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782CE1E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6CE45B39"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201A8A7E" w14:textId="77777777" w:rsidTr="008779B7">
        <w:trPr>
          <w:tblCellSpacing w:w="15" w:type="dxa"/>
        </w:trPr>
        <w:tc>
          <w:tcPr>
            <w:tcW w:w="0" w:type="auto"/>
            <w:vAlign w:val="center"/>
            <w:hideMark/>
          </w:tcPr>
          <w:p w14:paraId="1DE2A973"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2.1 – Compensation financière</w:t>
            </w:r>
          </w:p>
        </w:tc>
        <w:tc>
          <w:tcPr>
            <w:tcW w:w="0" w:type="auto"/>
            <w:vAlign w:val="center"/>
            <w:hideMark/>
          </w:tcPr>
          <w:p w14:paraId="1B8B5A06"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Art. 47 et 49 CO</w:t>
            </w:r>
          </w:p>
        </w:tc>
        <w:tc>
          <w:tcPr>
            <w:tcW w:w="0" w:type="auto"/>
            <w:vAlign w:val="center"/>
            <w:hideMark/>
          </w:tcPr>
          <w:p w14:paraId="4C09695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Indemnisation pour souffrance morale</w:t>
            </w:r>
          </w:p>
        </w:tc>
      </w:tr>
    </w:tbl>
    <w:p w14:paraId="353FC87C"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III – Les principes relatifs à la fixation du montant de l’indemnité pour tort moral</w:t>
      </w:r>
    </w:p>
    <w:p w14:paraId="6AFB062D" w14:textId="77777777" w:rsidR="008779B7" w:rsidRPr="008779B7" w:rsidRDefault="008779B7" w:rsidP="008779B7">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 3.1 : Évaluation du montant en fonction de la gravité du préjudice</w:t>
      </w:r>
    </w:p>
    <w:p w14:paraId="3B28D0FA"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Un patient ayant subi une faute médicale grave demande une indemnisation. Le tribunal doit fixer le montant en fonction de la gravité du préjudice.</w:t>
      </w:r>
    </w:p>
    <w:p w14:paraId="27E5DE90" w14:textId="77777777" w:rsidR="008779B7" w:rsidRPr="008779B7" w:rsidRDefault="008779B7" w:rsidP="008779B7">
      <w:pPr>
        <w:numPr>
          <w:ilvl w:val="0"/>
          <w:numId w:val="3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w:t>
      </w:r>
      <w:r w:rsidRPr="008779B7">
        <w:rPr>
          <w:rFonts w:ascii="Times New Roman" w:eastAsia="Times New Roman" w:hAnsi="Times New Roman" w:cs="Times New Roman"/>
          <w:kern w:val="0"/>
          <w:sz w:val="24"/>
          <w:szCs w:val="24"/>
          <w:lang w:eastAsia="fr-CH"/>
          <w14:ligatures w14:val="none"/>
        </w:rPr>
        <w:t xml:space="preserve"> : Le montant de l’indemnité dépend de la gravité du préjudice et de son impact sur la vie du patient.</w:t>
      </w:r>
    </w:p>
    <w:p w14:paraId="389808B0" w14:textId="77777777" w:rsidR="008779B7" w:rsidRPr="008779B7" w:rsidRDefault="008779B7" w:rsidP="008779B7">
      <w:pPr>
        <w:numPr>
          <w:ilvl w:val="0"/>
          <w:numId w:val="3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r w:rsidRPr="008779B7">
        <w:rPr>
          <w:rFonts w:ascii="Times New Roman" w:eastAsia="Times New Roman" w:hAnsi="Times New Roman" w:cs="Times New Roman"/>
          <w:kern w:val="0"/>
          <w:sz w:val="24"/>
          <w:szCs w:val="24"/>
          <w:lang w:eastAsia="fr-CH"/>
          <w14:ligatures w14:val="none"/>
        </w:rPr>
        <w:t xml:space="preserve"> : Jurisprudence suisse sur la fixation des montants.</w:t>
      </w:r>
    </w:p>
    <w:p w14:paraId="3B9221A1" w14:textId="77777777" w:rsidR="008779B7" w:rsidRPr="008779B7" w:rsidRDefault="008779B7" w:rsidP="008779B7">
      <w:pPr>
        <w:numPr>
          <w:ilvl w:val="0"/>
          <w:numId w:val="3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w:t>
      </w:r>
      <w:r w:rsidRPr="008779B7">
        <w:rPr>
          <w:rFonts w:ascii="Times New Roman" w:eastAsia="Times New Roman" w:hAnsi="Times New Roman" w:cs="Times New Roman"/>
          <w:kern w:val="0"/>
          <w:sz w:val="24"/>
          <w:szCs w:val="24"/>
          <w:lang w:eastAsia="fr-CH"/>
          <w14:ligatures w14:val="none"/>
        </w:rPr>
        <w:t xml:space="preserve"> : Les tribunaux prennent en compte la durée de la souffrance, son intensité et ses conséquences sur la vie du patient.</w:t>
      </w:r>
    </w:p>
    <w:p w14:paraId="7020E139" w14:textId="77777777" w:rsidR="008779B7" w:rsidRPr="008779B7" w:rsidRDefault="008779B7" w:rsidP="008779B7">
      <w:pPr>
        <w:numPr>
          <w:ilvl w:val="0"/>
          <w:numId w:val="35"/>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w:t>
      </w:r>
      <w:r w:rsidRPr="008779B7">
        <w:rPr>
          <w:rFonts w:ascii="Times New Roman" w:eastAsia="Times New Roman" w:hAnsi="Times New Roman" w:cs="Times New Roman"/>
          <w:kern w:val="0"/>
          <w:sz w:val="24"/>
          <w:szCs w:val="24"/>
          <w:lang w:eastAsia="fr-CH"/>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2"/>
        <w:gridCol w:w="2027"/>
        <w:gridCol w:w="3941"/>
      </w:tblGrid>
      <w:tr w:rsidR="008779B7" w:rsidRPr="008779B7" w14:paraId="2E2F4250" w14:textId="77777777" w:rsidTr="008779B7">
        <w:trPr>
          <w:tblHeader/>
          <w:tblCellSpacing w:w="15" w:type="dxa"/>
        </w:trPr>
        <w:tc>
          <w:tcPr>
            <w:tcW w:w="0" w:type="auto"/>
            <w:vAlign w:val="center"/>
            <w:hideMark/>
          </w:tcPr>
          <w:p w14:paraId="386D2957"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4ED7BC28"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455A244C"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53B1220C" w14:textId="77777777" w:rsidTr="008779B7">
        <w:trPr>
          <w:tblCellSpacing w:w="15" w:type="dxa"/>
        </w:trPr>
        <w:tc>
          <w:tcPr>
            <w:tcW w:w="0" w:type="auto"/>
            <w:vAlign w:val="center"/>
            <w:hideMark/>
          </w:tcPr>
          <w:p w14:paraId="660FD492"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3.1 – Fixation du montant</w:t>
            </w:r>
          </w:p>
        </w:tc>
        <w:tc>
          <w:tcPr>
            <w:tcW w:w="0" w:type="auto"/>
            <w:vAlign w:val="center"/>
            <w:hideMark/>
          </w:tcPr>
          <w:p w14:paraId="085AD942"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Jurisprudence suisse</w:t>
            </w:r>
          </w:p>
        </w:tc>
        <w:tc>
          <w:tcPr>
            <w:tcW w:w="0" w:type="auto"/>
            <w:vAlign w:val="center"/>
            <w:hideMark/>
          </w:tcPr>
          <w:p w14:paraId="204D61E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Montant basé sur la gravité du préjudice</w:t>
            </w:r>
          </w:p>
        </w:tc>
      </w:tr>
    </w:tbl>
    <w:p w14:paraId="4D74055E"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IV – La violation du contrat</w:t>
      </w:r>
    </w:p>
    <w:p w14:paraId="76FECD46" w14:textId="77777777" w:rsidR="008779B7" w:rsidRPr="008779B7" w:rsidRDefault="008779B7" w:rsidP="008779B7">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 4.1 : Non-respect des engagements médicaux</w:t>
      </w:r>
    </w:p>
    <w:p w14:paraId="2815E660"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Un hôpital privé s’engage à fournir un suivi post-opératoire détaillé, mais ne respecte pas cet engagement. Le patient subit des complications.</w:t>
      </w:r>
    </w:p>
    <w:p w14:paraId="6B33B2BC" w14:textId="77777777" w:rsidR="008779B7" w:rsidRPr="008779B7" w:rsidRDefault="008779B7" w:rsidP="008779B7">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w:t>
      </w:r>
      <w:r w:rsidRPr="008779B7">
        <w:rPr>
          <w:rFonts w:ascii="Times New Roman" w:eastAsia="Times New Roman" w:hAnsi="Times New Roman" w:cs="Times New Roman"/>
          <w:kern w:val="0"/>
          <w:sz w:val="24"/>
          <w:szCs w:val="24"/>
          <w:lang w:eastAsia="fr-CH"/>
          <w14:ligatures w14:val="none"/>
        </w:rPr>
        <w:t xml:space="preserve"> : La violation du contrat engage la responsabilité contractuelle de l’établissement.</w:t>
      </w:r>
    </w:p>
    <w:p w14:paraId="395CC98A" w14:textId="77777777" w:rsidR="008779B7" w:rsidRPr="008779B7" w:rsidRDefault="008779B7" w:rsidP="008779B7">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r w:rsidRPr="008779B7">
        <w:rPr>
          <w:rFonts w:ascii="Times New Roman" w:eastAsia="Times New Roman" w:hAnsi="Times New Roman" w:cs="Times New Roman"/>
          <w:kern w:val="0"/>
          <w:sz w:val="24"/>
          <w:szCs w:val="24"/>
          <w:lang w:eastAsia="fr-CH"/>
          <w14:ligatures w14:val="none"/>
        </w:rPr>
        <w:t xml:space="preserve"> : Code civil suisse sur la responsabilité contractuelle.</w:t>
      </w:r>
    </w:p>
    <w:p w14:paraId="37AC74B2" w14:textId="77777777" w:rsidR="008779B7" w:rsidRPr="008779B7" w:rsidRDefault="008779B7" w:rsidP="008779B7">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w:t>
      </w:r>
      <w:r w:rsidRPr="008779B7">
        <w:rPr>
          <w:rFonts w:ascii="Times New Roman" w:eastAsia="Times New Roman" w:hAnsi="Times New Roman" w:cs="Times New Roman"/>
          <w:kern w:val="0"/>
          <w:sz w:val="24"/>
          <w:szCs w:val="24"/>
          <w:lang w:eastAsia="fr-CH"/>
          <w14:ligatures w14:val="none"/>
        </w:rPr>
        <w:t xml:space="preserve"> : Le non-respect des engagements contractuels ouvre droit à une indemnisation.</w:t>
      </w:r>
    </w:p>
    <w:p w14:paraId="6E05A807" w14:textId="77777777" w:rsidR="008779B7" w:rsidRPr="008779B7" w:rsidRDefault="008779B7" w:rsidP="008779B7">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w:t>
      </w:r>
      <w:r w:rsidRPr="008779B7">
        <w:rPr>
          <w:rFonts w:ascii="Times New Roman" w:eastAsia="Times New Roman" w:hAnsi="Times New Roman" w:cs="Times New Roman"/>
          <w:kern w:val="0"/>
          <w:sz w:val="24"/>
          <w:szCs w:val="24"/>
          <w:lang w:eastAsia="fr-CH"/>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8"/>
        <w:gridCol w:w="1687"/>
        <w:gridCol w:w="3934"/>
      </w:tblGrid>
      <w:tr w:rsidR="008779B7" w:rsidRPr="008779B7" w14:paraId="76B90FBA" w14:textId="77777777" w:rsidTr="008779B7">
        <w:trPr>
          <w:tblHeader/>
          <w:tblCellSpacing w:w="15" w:type="dxa"/>
        </w:trPr>
        <w:tc>
          <w:tcPr>
            <w:tcW w:w="0" w:type="auto"/>
            <w:vAlign w:val="center"/>
            <w:hideMark/>
          </w:tcPr>
          <w:p w14:paraId="6A0C0CCD"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6B5402D7"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10FDE14D"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00F8CC2A" w14:textId="77777777" w:rsidTr="008779B7">
        <w:trPr>
          <w:tblCellSpacing w:w="15" w:type="dxa"/>
        </w:trPr>
        <w:tc>
          <w:tcPr>
            <w:tcW w:w="0" w:type="auto"/>
            <w:vAlign w:val="center"/>
            <w:hideMark/>
          </w:tcPr>
          <w:p w14:paraId="349D3AB9"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4.1 – Violation du contrat</w:t>
            </w:r>
          </w:p>
        </w:tc>
        <w:tc>
          <w:tcPr>
            <w:tcW w:w="0" w:type="auto"/>
            <w:vAlign w:val="center"/>
            <w:hideMark/>
          </w:tcPr>
          <w:p w14:paraId="0EE29145"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w:t>
            </w:r>
          </w:p>
        </w:tc>
        <w:tc>
          <w:tcPr>
            <w:tcW w:w="0" w:type="auto"/>
            <w:vAlign w:val="center"/>
            <w:hideMark/>
          </w:tcPr>
          <w:p w14:paraId="24EBB12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Non-respect des engagements médicaux</w:t>
            </w:r>
          </w:p>
        </w:tc>
      </w:tr>
    </w:tbl>
    <w:p w14:paraId="63BD1F4D"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V – La causalité naturelle</w:t>
      </w:r>
    </w:p>
    <w:p w14:paraId="6966C814" w14:textId="77777777" w:rsidR="008779B7" w:rsidRPr="008779B7" w:rsidRDefault="008779B7" w:rsidP="008779B7">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 5.1 : Lien direct entre faute et dommage</w:t>
      </w:r>
    </w:p>
    <w:p w14:paraId="27169D48"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Un patient subit une erreur médicale qui entraîne une complication grave. Le lien entre la faute et le dommage est évident.</w:t>
      </w:r>
    </w:p>
    <w:p w14:paraId="299C89DB" w14:textId="77777777" w:rsidR="008779B7" w:rsidRPr="008779B7" w:rsidRDefault="008779B7" w:rsidP="008779B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w:t>
      </w:r>
      <w:r w:rsidRPr="008779B7">
        <w:rPr>
          <w:rFonts w:ascii="Times New Roman" w:eastAsia="Times New Roman" w:hAnsi="Times New Roman" w:cs="Times New Roman"/>
          <w:kern w:val="0"/>
          <w:sz w:val="24"/>
          <w:szCs w:val="24"/>
          <w:lang w:eastAsia="fr-CH"/>
          <w14:ligatures w14:val="none"/>
        </w:rPr>
        <w:t xml:space="preserve"> : La causalité naturelle est établie lorsque le dommage découle directement de la faute.</w:t>
      </w:r>
    </w:p>
    <w:p w14:paraId="756160F6" w14:textId="77777777" w:rsidR="008779B7" w:rsidRPr="008779B7" w:rsidRDefault="008779B7" w:rsidP="008779B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r w:rsidRPr="008779B7">
        <w:rPr>
          <w:rFonts w:ascii="Times New Roman" w:eastAsia="Times New Roman" w:hAnsi="Times New Roman" w:cs="Times New Roman"/>
          <w:kern w:val="0"/>
          <w:sz w:val="24"/>
          <w:szCs w:val="24"/>
          <w:lang w:eastAsia="fr-CH"/>
          <w14:ligatures w14:val="none"/>
        </w:rPr>
        <w:t xml:space="preserve"> : Code civil suisse sur la causalité.</w:t>
      </w:r>
    </w:p>
    <w:p w14:paraId="33D1A55E" w14:textId="77777777" w:rsidR="008779B7" w:rsidRPr="008779B7" w:rsidRDefault="008779B7" w:rsidP="008779B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Analyse</w:t>
      </w:r>
      <w:r w:rsidRPr="008779B7">
        <w:rPr>
          <w:rFonts w:ascii="Times New Roman" w:eastAsia="Times New Roman" w:hAnsi="Times New Roman" w:cs="Times New Roman"/>
          <w:kern w:val="0"/>
          <w:sz w:val="24"/>
          <w:szCs w:val="24"/>
          <w:lang w:eastAsia="fr-CH"/>
          <w14:ligatures w14:val="none"/>
        </w:rPr>
        <w:t xml:space="preserve"> : La causalité naturelle est une condition essentielle pour engager la responsabilité.</w:t>
      </w:r>
    </w:p>
    <w:p w14:paraId="0CC1E57D" w14:textId="77777777" w:rsidR="008779B7" w:rsidRPr="008779B7" w:rsidRDefault="008779B7" w:rsidP="008779B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w:t>
      </w:r>
      <w:r w:rsidRPr="008779B7">
        <w:rPr>
          <w:rFonts w:ascii="Times New Roman" w:eastAsia="Times New Roman" w:hAnsi="Times New Roman" w:cs="Times New Roman"/>
          <w:kern w:val="0"/>
          <w:sz w:val="24"/>
          <w:szCs w:val="24"/>
          <w:lang w:eastAsia="fr-CH"/>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8"/>
        <w:gridCol w:w="1687"/>
        <w:gridCol w:w="3441"/>
      </w:tblGrid>
      <w:tr w:rsidR="008779B7" w:rsidRPr="008779B7" w14:paraId="6FF54263" w14:textId="77777777" w:rsidTr="008779B7">
        <w:trPr>
          <w:tblHeader/>
          <w:tblCellSpacing w:w="15" w:type="dxa"/>
        </w:trPr>
        <w:tc>
          <w:tcPr>
            <w:tcW w:w="0" w:type="auto"/>
            <w:vAlign w:val="center"/>
            <w:hideMark/>
          </w:tcPr>
          <w:p w14:paraId="058D93D4"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236CCDF6"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202614B6"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77166B30" w14:textId="77777777" w:rsidTr="008779B7">
        <w:trPr>
          <w:tblCellSpacing w:w="15" w:type="dxa"/>
        </w:trPr>
        <w:tc>
          <w:tcPr>
            <w:tcW w:w="0" w:type="auto"/>
            <w:vAlign w:val="center"/>
            <w:hideMark/>
          </w:tcPr>
          <w:p w14:paraId="2F00B99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5.1 – Causalité naturelle</w:t>
            </w:r>
          </w:p>
        </w:tc>
        <w:tc>
          <w:tcPr>
            <w:tcW w:w="0" w:type="auto"/>
            <w:vAlign w:val="center"/>
            <w:hideMark/>
          </w:tcPr>
          <w:p w14:paraId="49DD9A5F"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w:t>
            </w:r>
          </w:p>
        </w:tc>
        <w:tc>
          <w:tcPr>
            <w:tcW w:w="0" w:type="auto"/>
            <w:vAlign w:val="center"/>
            <w:hideMark/>
          </w:tcPr>
          <w:p w14:paraId="5577FC49"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Lien direct entre faute et dommage</w:t>
            </w:r>
          </w:p>
        </w:tc>
      </w:tr>
    </w:tbl>
    <w:p w14:paraId="321AF524"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VI – La causalité adéquate</w:t>
      </w:r>
    </w:p>
    <w:p w14:paraId="4F3B44B6" w14:textId="77777777" w:rsidR="008779B7" w:rsidRPr="008779B7" w:rsidRDefault="008779B7" w:rsidP="008779B7">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 6.1 : Évaluation du lien entre faute et préjudice</w:t>
      </w:r>
    </w:p>
    <w:p w14:paraId="2FC7E3C4"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Un patient subit une complication après une intervention. Le tribunal doit déterminer si la faute du médecin a réellement causé le préjudice.</w:t>
      </w:r>
    </w:p>
    <w:p w14:paraId="2279B464" w14:textId="77777777" w:rsidR="008779B7" w:rsidRPr="008779B7" w:rsidRDefault="008779B7" w:rsidP="008779B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w:t>
      </w:r>
      <w:r w:rsidRPr="008779B7">
        <w:rPr>
          <w:rFonts w:ascii="Times New Roman" w:eastAsia="Times New Roman" w:hAnsi="Times New Roman" w:cs="Times New Roman"/>
          <w:kern w:val="0"/>
          <w:sz w:val="24"/>
          <w:szCs w:val="24"/>
          <w:lang w:eastAsia="fr-CH"/>
          <w14:ligatures w14:val="none"/>
        </w:rPr>
        <w:t xml:space="preserve"> : La causalité adéquate est établie si la faute du médecin a augmenté le risque de préjudice.</w:t>
      </w:r>
    </w:p>
    <w:p w14:paraId="320A202B" w14:textId="77777777" w:rsidR="008779B7" w:rsidRPr="008779B7" w:rsidRDefault="008779B7" w:rsidP="008779B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r w:rsidRPr="008779B7">
        <w:rPr>
          <w:rFonts w:ascii="Times New Roman" w:eastAsia="Times New Roman" w:hAnsi="Times New Roman" w:cs="Times New Roman"/>
          <w:kern w:val="0"/>
          <w:sz w:val="24"/>
          <w:szCs w:val="24"/>
          <w:lang w:eastAsia="fr-CH"/>
          <w14:ligatures w14:val="none"/>
        </w:rPr>
        <w:t xml:space="preserve"> : Code civil suisse sur la causalité adéquate.</w:t>
      </w:r>
    </w:p>
    <w:p w14:paraId="4980E22B" w14:textId="77777777" w:rsidR="008779B7" w:rsidRPr="008779B7" w:rsidRDefault="008779B7" w:rsidP="008779B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w:t>
      </w:r>
      <w:r w:rsidRPr="008779B7">
        <w:rPr>
          <w:rFonts w:ascii="Times New Roman" w:eastAsia="Times New Roman" w:hAnsi="Times New Roman" w:cs="Times New Roman"/>
          <w:kern w:val="0"/>
          <w:sz w:val="24"/>
          <w:szCs w:val="24"/>
          <w:lang w:eastAsia="fr-CH"/>
          <w14:ligatures w14:val="none"/>
        </w:rPr>
        <w:t xml:space="preserve"> : La causalité adéquate est une notion juridique qui permet d’évaluer la responsabilité.</w:t>
      </w:r>
    </w:p>
    <w:p w14:paraId="70716F93" w14:textId="77777777" w:rsidR="008779B7" w:rsidRPr="008779B7" w:rsidRDefault="008779B7" w:rsidP="008779B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w:t>
      </w:r>
      <w:r w:rsidRPr="008779B7">
        <w:rPr>
          <w:rFonts w:ascii="Times New Roman" w:eastAsia="Times New Roman" w:hAnsi="Times New Roman" w:cs="Times New Roman"/>
          <w:kern w:val="0"/>
          <w:sz w:val="24"/>
          <w:szCs w:val="24"/>
          <w:lang w:eastAsia="fr-CH"/>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21"/>
        <w:gridCol w:w="1687"/>
        <w:gridCol w:w="4100"/>
      </w:tblGrid>
      <w:tr w:rsidR="008779B7" w:rsidRPr="008779B7" w14:paraId="73929ABC" w14:textId="77777777" w:rsidTr="008779B7">
        <w:trPr>
          <w:tblHeader/>
          <w:tblCellSpacing w:w="15" w:type="dxa"/>
        </w:trPr>
        <w:tc>
          <w:tcPr>
            <w:tcW w:w="0" w:type="auto"/>
            <w:vAlign w:val="center"/>
            <w:hideMark/>
          </w:tcPr>
          <w:p w14:paraId="4AD24014"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7EF12BD5"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052B9227"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139BE66E" w14:textId="77777777" w:rsidTr="008779B7">
        <w:trPr>
          <w:tblCellSpacing w:w="15" w:type="dxa"/>
        </w:trPr>
        <w:tc>
          <w:tcPr>
            <w:tcW w:w="0" w:type="auto"/>
            <w:vAlign w:val="center"/>
            <w:hideMark/>
          </w:tcPr>
          <w:p w14:paraId="5A4723D1"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6.1 – Causalité adéquate</w:t>
            </w:r>
          </w:p>
        </w:tc>
        <w:tc>
          <w:tcPr>
            <w:tcW w:w="0" w:type="auto"/>
            <w:vAlign w:val="center"/>
            <w:hideMark/>
          </w:tcPr>
          <w:p w14:paraId="7635FD23"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w:t>
            </w:r>
          </w:p>
        </w:tc>
        <w:tc>
          <w:tcPr>
            <w:tcW w:w="0" w:type="auto"/>
            <w:vAlign w:val="center"/>
            <w:hideMark/>
          </w:tcPr>
          <w:p w14:paraId="103D1D5B"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Évaluation du lien entre faute et préjudice</w:t>
            </w:r>
          </w:p>
        </w:tc>
      </w:tr>
    </w:tbl>
    <w:p w14:paraId="5EE3D08B"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VII – Les facteurs interruptifs de la causalité adéquate</w:t>
      </w:r>
    </w:p>
    <w:p w14:paraId="64C44261" w14:textId="77777777" w:rsidR="008779B7" w:rsidRPr="008779B7" w:rsidRDefault="008779B7" w:rsidP="008779B7">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 7.1 : Intervention d’un facteur externe</w:t>
      </w:r>
    </w:p>
    <w:p w14:paraId="583373EE"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Un patient subit une complication après une opération, mais un événement extérieur (infection indépendante) vient perturber le lien de causalité.</w:t>
      </w:r>
    </w:p>
    <w:p w14:paraId="48F3527E" w14:textId="77777777" w:rsidR="008779B7" w:rsidRPr="008779B7" w:rsidRDefault="008779B7" w:rsidP="008779B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w:t>
      </w:r>
      <w:r w:rsidRPr="008779B7">
        <w:rPr>
          <w:rFonts w:ascii="Times New Roman" w:eastAsia="Times New Roman" w:hAnsi="Times New Roman" w:cs="Times New Roman"/>
          <w:kern w:val="0"/>
          <w:sz w:val="24"/>
          <w:szCs w:val="24"/>
          <w:lang w:eastAsia="fr-CH"/>
          <w14:ligatures w14:val="none"/>
        </w:rPr>
        <w:t xml:space="preserve"> : Un facteur externe peut interrompre la causalité adéquate et limiter la responsabilité du médecin.</w:t>
      </w:r>
    </w:p>
    <w:p w14:paraId="39B08E3B" w14:textId="77777777" w:rsidR="008779B7" w:rsidRPr="008779B7" w:rsidRDefault="008779B7" w:rsidP="008779B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r w:rsidRPr="008779B7">
        <w:rPr>
          <w:rFonts w:ascii="Times New Roman" w:eastAsia="Times New Roman" w:hAnsi="Times New Roman" w:cs="Times New Roman"/>
          <w:kern w:val="0"/>
          <w:sz w:val="24"/>
          <w:szCs w:val="24"/>
          <w:lang w:eastAsia="fr-CH"/>
          <w14:ligatures w14:val="none"/>
        </w:rPr>
        <w:t xml:space="preserve"> : Code civil suisse sur les facteurs interruptifs.</w:t>
      </w:r>
    </w:p>
    <w:p w14:paraId="454D3AD6" w14:textId="77777777" w:rsidR="008779B7" w:rsidRPr="008779B7" w:rsidRDefault="008779B7" w:rsidP="008779B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w:t>
      </w:r>
      <w:r w:rsidRPr="008779B7">
        <w:rPr>
          <w:rFonts w:ascii="Times New Roman" w:eastAsia="Times New Roman" w:hAnsi="Times New Roman" w:cs="Times New Roman"/>
          <w:kern w:val="0"/>
          <w:sz w:val="24"/>
          <w:szCs w:val="24"/>
          <w:lang w:eastAsia="fr-CH"/>
          <w14:ligatures w14:val="none"/>
        </w:rPr>
        <w:t xml:space="preserve"> : Si un événement extérieur intervient, la responsabilité du médecin peut être réduite.</w:t>
      </w:r>
    </w:p>
    <w:p w14:paraId="3ED6EF92" w14:textId="77777777" w:rsidR="008779B7" w:rsidRPr="008779B7" w:rsidRDefault="008779B7" w:rsidP="008779B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w:t>
      </w:r>
      <w:r w:rsidRPr="008779B7">
        <w:rPr>
          <w:rFonts w:ascii="Times New Roman" w:eastAsia="Times New Roman" w:hAnsi="Times New Roman" w:cs="Times New Roman"/>
          <w:kern w:val="0"/>
          <w:sz w:val="24"/>
          <w:szCs w:val="24"/>
          <w:lang w:eastAsia="fr-CH"/>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68"/>
        <w:gridCol w:w="1687"/>
        <w:gridCol w:w="4247"/>
      </w:tblGrid>
      <w:tr w:rsidR="008779B7" w:rsidRPr="008779B7" w14:paraId="0B82F66B" w14:textId="77777777" w:rsidTr="008779B7">
        <w:trPr>
          <w:tblHeader/>
          <w:tblCellSpacing w:w="15" w:type="dxa"/>
        </w:trPr>
        <w:tc>
          <w:tcPr>
            <w:tcW w:w="0" w:type="auto"/>
            <w:vAlign w:val="center"/>
            <w:hideMark/>
          </w:tcPr>
          <w:p w14:paraId="56B186FC"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73944E4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1B8D0198"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47C7F275" w14:textId="77777777" w:rsidTr="008779B7">
        <w:trPr>
          <w:tblCellSpacing w:w="15" w:type="dxa"/>
        </w:trPr>
        <w:tc>
          <w:tcPr>
            <w:tcW w:w="0" w:type="auto"/>
            <w:vAlign w:val="center"/>
            <w:hideMark/>
          </w:tcPr>
          <w:p w14:paraId="3A342450"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7.1 – Facteur interruptif</w:t>
            </w:r>
          </w:p>
        </w:tc>
        <w:tc>
          <w:tcPr>
            <w:tcW w:w="0" w:type="auto"/>
            <w:vAlign w:val="center"/>
            <w:hideMark/>
          </w:tcPr>
          <w:p w14:paraId="7D61E8C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w:t>
            </w:r>
          </w:p>
        </w:tc>
        <w:tc>
          <w:tcPr>
            <w:tcW w:w="0" w:type="auto"/>
            <w:vAlign w:val="center"/>
            <w:hideMark/>
          </w:tcPr>
          <w:p w14:paraId="302CF536"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Événement extérieur perturbant la causalité</w:t>
            </w:r>
          </w:p>
        </w:tc>
      </w:tr>
    </w:tbl>
    <w:p w14:paraId="5CAD442D"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VIII – La perte de chance</w:t>
      </w:r>
    </w:p>
    <w:p w14:paraId="7E1D4BBC" w14:textId="77777777" w:rsidR="008779B7" w:rsidRPr="008779B7" w:rsidRDefault="008779B7" w:rsidP="008779B7">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 8.1 : Erreur médicale réduisant les chances de guérison</w:t>
      </w:r>
    </w:p>
    <w:p w14:paraId="44EF5FE3"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Un patient atteint d’une maladie grave reçoit un traitement inadapté, réduisant ses chances de guérison.</w:t>
      </w:r>
    </w:p>
    <w:p w14:paraId="2E3E5338" w14:textId="77777777" w:rsidR="008779B7" w:rsidRPr="008779B7" w:rsidRDefault="008779B7" w:rsidP="008779B7">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w:t>
      </w:r>
      <w:r w:rsidRPr="008779B7">
        <w:rPr>
          <w:rFonts w:ascii="Times New Roman" w:eastAsia="Times New Roman" w:hAnsi="Times New Roman" w:cs="Times New Roman"/>
          <w:kern w:val="0"/>
          <w:sz w:val="24"/>
          <w:szCs w:val="24"/>
          <w:lang w:eastAsia="fr-CH"/>
          <w14:ligatures w14:val="none"/>
        </w:rPr>
        <w:t xml:space="preserve"> : La perte de chance est indemnisable si la faute médicale a diminué les chances de guérison.</w:t>
      </w:r>
    </w:p>
    <w:p w14:paraId="280B5753" w14:textId="77777777" w:rsidR="008779B7" w:rsidRPr="008779B7" w:rsidRDefault="008779B7" w:rsidP="008779B7">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r w:rsidRPr="008779B7">
        <w:rPr>
          <w:rFonts w:ascii="Times New Roman" w:eastAsia="Times New Roman" w:hAnsi="Times New Roman" w:cs="Times New Roman"/>
          <w:kern w:val="0"/>
          <w:sz w:val="24"/>
          <w:szCs w:val="24"/>
          <w:lang w:eastAsia="fr-CH"/>
          <w14:ligatures w14:val="none"/>
        </w:rPr>
        <w:t xml:space="preserve"> : Jurisprudence suisse sur la perte de chance.</w:t>
      </w:r>
    </w:p>
    <w:p w14:paraId="5621C5AC" w14:textId="77777777" w:rsidR="008779B7" w:rsidRPr="008779B7" w:rsidRDefault="008779B7" w:rsidP="008779B7">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lastRenderedPageBreak/>
        <w:t>Analyse</w:t>
      </w:r>
      <w:r w:rsidRPr="008779B7">
        <w:rPr>
          <w:rFonts w:ascii="Times New Roman" w:eastAsia="Times New Roman" w:hAnsi="Times New Roman" w:cs="Times New Roman"/>
          <w:kern w:val="0"/>
          <w:sz w:val="24"/>
          <w:szCs w:val="24"/>
          <w:lang w:eastAsia="fr-CH"/>
          <w14:ligatures w14:val="none"/>
        </w:rPr>
        <w:t xml:space="preserve"> : La perte de chance est une notion complexe qui nécessite une évaluation précise.</w:t>
      </w:r>
    </w:p>
    <w:p w14:paraId="68A92C00" w14:textId="77777777" w:rsidR="008779B7" w:rsidRPr="008779B7" w:rsidRDefault="008779B7" w:rsidP="008779B7">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w:t>
      </w:r>
      <w:r w:rsidRPr="008779B7">
        <w:rPr>
          <w:rFonts w:ascii="Times New Roman" w:eastAsia="Times New Roman" w:hAnsi="Times New Roman" w:cs="Times New Roman"/>
          <w:kern w:val="0"/>
          <w:sz w:val="24"/>
          <w:szCs w:val="24"/>
          <w:lang w:eastAsia="fr-CH"/>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1"/>
        <w:gridCol w:w="2027"/>
        <w:gridCol w:w="4794"/>
      </w:tblGrid>
      <w:tr w:rsidR="008779B7" w:rsidRPr="008779B7" w14:paraId="6A923D42" w14:textId="77777777" w:rsidTr="008779B7">
        <w:trPr>
          <w:tblHeader/>
          <w:tblCellSpacing w:w="15" w:type="dxa"/>
        </w:trPr>
        <w:tc>
          <w:tcPr>
            <w:tcW w:w="0" w:type="auto"/>
            <w:vAlign w:val="center"/>
            <w:hideMark/>
          </w:tcPr>
          <w:p w14:paraId="3D09F802"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427C2FC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3142CBD3"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7328160D" w14:textId="77777777" w:rsidTr="008779B7">
        <w:trPr>
          <w:tblCellSpacing w:w="15" w:type="dxa"/>
        </w:trPr>
        <w:tc>
          <w:tcPr>
            <w:tcW w:w="0" w:type="auto"/>
            <w:vAlign w:val="center"/>
            <w:hideMark/>
          </w:tcPr>
          <w:p w14:paraId="0745047E"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8.1 – Perte de chance</w:t>
            </w:r>
          </w:p>
        </w:tc>
        <w:tc>
          <w:tcPr>
            <w:tcW w:w="0" w:type="auto"/>
            <w:vAlign w:val="center"/>
            <w:hideMark/>
          </w:tcPr>
          <w:p w14:paraId="7DC9FE62"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Jurisprudence suisse</w:t>
            </w:r>
          </w:p>
        </w:tc>
        <w:tc>
          <w:tcPr>
            <w:tcW w:w="0" w:type="auto"/>
            <w:vAlign w:val="center"/>
            <w:hideMark/>
          </w:tcPr>
          <w:p w14:paraId="4930E0AD"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Faute médicale réduisant les chances de guérison</w:t>
            </w:r>
          </w:p>
        </w:tc>
      </w:tr>
    </w:tbl>
    <w:p w14:paraId="63E2DC51" w14:textId="77777777" w:rsidR="008779B7" w:rsidRPr="008779B7" w:rsidRDefault="008779B7" w:rsidP="008779B7">
      <w:pPr>
        <w:spacing w:before="100" w:beforeAutospacing="1" w:after="100" w:afterAutospacing="1" w:line="240" w:lineRule="auto"/>
        <w:outlineLvl w:val="2"/>
        <w:rPr>
          <w:rFonts w:ascii="Times New Roman" w:eastAsia="Times New Roman" w:hAnsi="Times New Roman" w:cs="Times New Roman"/>
          <w:b/>
          <w:bCs/>
          <w:kern w:val="0"/>
          <w:sz w:val="27"/>
          <w:szCs w:val="27"/>
          <w:lang w:eastAsia="fr-CH"/>
          <w14:ligatures w14:val="none"/>
        </w:rPr>
      </w:pPr>
      <w:r w:rsidRPr="008779B7">
        <w:rPr>
          <w:rFonts w:ascii="Times New Roman" w:eastAsia="Times New Roman" w:hAnsi="Times New Roman" w:cs="Times New Roman"/>
          <w:b/>
          <w:bCs/>
          <w:kern w:val="0"/>
          <w:sz w:val="27"/>
          <w:szCs w:val="27"/>
          <w:lang w:eastAsia="fr-CH"/>
          <w14:ligatures w14:val="none"/>
        </w:rPr>
        <w:t>IX – La faute</w:t>
      </w:r>
    </w:p>
    <w:p w14:paraId="112B0956" w14:textId="77777777" w:rsidR="008779B7" w:rsidRPr="008779B7" w:rsidRDefault="008779B7" w:rsidP="008779B7">
      <w:pPr>
        <w:spacing w:before="100" w:beforeAutospacing="1" w:after="100" w:afterAutospacing="1" w:line="240" w:lineRule="auto"/>
        <w:outlineLvl w:val="3"/>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 9.1 : Négligence grave du médecin</w:t>
      </w:r>
    </w:p>
    <w:p w14:paraId="3B11F006" w14:textId="77777777" w:rsidR="008779B7" w:rsidRPr="008779B7" w:rsidRDefault="008779B7" w:rsidP="008779B7">
      <w:p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Un médecin omet de vérifier les antécédents d’un patient avant une intervention, entraînant une complication grave.</w:t>
      </w:r>
    </w:p>
    <w:p w14:paraId="3A31F078" w14:textId="77777777" w:rsidR="008779B7" w:rsidRPr="008779B7" w:rsidRDefault="008779B7" w:rsidP="008779B7">
      <w:pPr>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Réponse</w:t>
      </w:r>
      <w:r w:rsidRPr="008779B7">
        <w:rPr>
          <w:rFonts w:ascii="Times New Roman" w:eastAsia="Times New Roman" w:hAnsi="Times New Roman" w:cs="Times New Roman"/>
          <w:kern w:val="0"/>
          <w:sz w:val="24"/>
          <w:szCs w:val="24"/>
          <w:lang w:eastAsia="fr-CH"/>
          <w14:ligatures w14:val="none"/>
        </w:rPr>
        <w:t xml:space="preserve"> : La faute est caractérisée par une négligence grave dans la prise en charge du patient.</w:t>
      </w:r>
    </w:p>
    <w:p w14:paraId="28E300B7" w14:textId="77777777" w:rsidR="008779B7" w:rsidRPr="008779B7" w:rsidRDefault="008779B7" w:rsidP="008779B7">
      <w:pPr>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r w:rsidRPr="008779B7">
        <w:rPr>
          <w:rFonts w:ascii="Times New Roman" w:eastAsia="Times New Roman" w:hAnsi="Times New Roman" w:cs="Times New Roman"/>
          <w:kern w:val="0"/>
          <w:sz w:val="24"/>
          <w:szCs w:val="24"/>
          <w:lang w:eastAsia="fr-CH"/>
          <w14:ligatures w14:val="none"/>
        </w:rPr>
        <w:t xml:space="preserve"> : Code civil suisse sur la faute médicale.</w:t>
      </w:r>
    </w:p>
    <w:p w14:paraId="279F2D25" w14:textId="77777777" w:rsidR="008779B7" w:rsidRPr="008779B7" w:rsidRDefault="008779B7" w:rsidP="008779B7">
      <w:pPr>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Analyse</w:t>
      </w:r>
      <w:r w:rsidRPr="008779B7">
        <w:rPr>
          <w:rFonts w:ascii="Times New Roman" w:eastAsia="Times New Roman" w:hAnsi="Times New Roman" w:cs="Times New Roman"/>
          <w:kern w:val="0"/>
          <w:sz w:val="24"/>
          <w:szCs w:val="24"/>
          <w:lang w:eastAsia="fr-CH"/>
          <w14:ligatures w14:val="none"/>
        </w:rPr>
        <w:t xml:space="preserve"> : La faute peut être intentionnelle ou résulter d’une négligence.</w:t>
      </w:r>
    </w:p>
    <w:p w14:paraId="2093B4EB" w14:textId="77777777" w:rsidR="008779B7" w:rsidRPr="008779B7" w:rsidRDefault="008779B7" w:rsidP="008779B7">
      <w:pPr>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Tableau récapitulatif</w:t>
      </w:r>
      <w:r w:rsidRPr="008779B7">
        <w:rPr>
          <w:rFonts w:ascii="Times New Roman" w:eastAsia="Times New Roman" w:hAnsi="Times New Roman" w:cs="Times New Roman"/>
          <w:kern w:val="0"/>
          <w:sz w:val="24"/>
          <w:szCs w:val="24"/>
          <w:lang w:eastAsia="fr-CH"/>
          <w14:ligatures w14:val="non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5"/>
        <w:gridCol w:w="1687"/>
        <w:gridCol w:w="2934"/>
      </w:tblGrid>
      <w:tr w:rsidR="008779B7" w:rsidRPr="008779B7" w14:paraId="1AF8765B" w14:textId="77777777" w:rsidTr="008779B7">
        <w:trPr>
          <w:tblHeader/>
          <w:tblCellSpacing w:w="15" w:type="dxa"/>
        </w:trPr>
        <w:tc>
          <w:tcPr>
            <w:tcW w:w="0" w:type="auto"/>
            <w:vAlign w:val="center"/>
            <w:hideMark/>
          </w:tcPr>
          <w:p w14:paraId="5D9051FE"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Cas pratique</w:t>
            </w:r>
          </w:p>
        </w:tc>
        <w:tc>
          <w:tcPr>
            <w:tcW w:w="0" w:type="auto"/>
            <w:vAlign w:val="center"/>
            <w:hideMark/>
          </w:tcPr>
          <w:p w14:paraId="04A66713"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Articles de loi</w:t>
            </w:r>
          </w:p>
        </w:tc>
        <w:tc>
          <w:tcPr>
            <w:tcW w:w="0" w:type="auto"/>
            <w:vAlign w:val="center"/>
            <w:hideMark/>
          </w:tcPr>
          <w:p w14:paraId="7ECD09A8" w14:textId="77777777" w:rsidR="008779B7" w:rsidRPr="008779B7" w:rsidRDefault="008779B7" w:rsidP="008779B7">
            <w:pPr>
              <w:spacing w:after="0" w:line="240" w:lineRule="auto"/>
              <w:jc w:val="center"/>
              <w:rPr>
                <w:rFonts w:ascii="Times New Roman" w:eastAsia="Times New Roman" w:hAnsi="Times New Roman" w:cs="Times New Roman"/>
                <w:b/>
                <w:bCs/>
                <w:kern w:val="0"/>
                <w:sz w:val="24"/>
                <w:szCs w:val="24"/>
                <w:lang w:eastAsia="fr-CH"/>
                <w14:ligatures w14:val="none"/>
              </w:rPr>
            </w:pPr>
            <w:r w:rsidRPr="008779B7">
              <w:rPr>
                <w:rFonts w:ascii="Times New Roman" w:eastAsia="Times New Roman" w:hAnsi="Times New Roman" w:cs="Times New Roman"/>
                <w:b/>
                <w:bCs/>
                <w:kern w:val="0"/>
                <w:sz w:val="24"/>
                <w:szCs w:val="24"/>
                <w:lang w:eastAsia="fr-CH"/>
                <w14:ligatures w14:val="none"/>
              </w:rPr>
              <w:t>Résumé</w:t>
            </w:r>
          </w:p>
        </w:tc>
      </w:tr>
      <w:tr w:rsidR="008779B7" w:rsidRPr="008779B7" w14:paraId="13C69B63" w14:textId="77777777" w:rsidTr="008779B7">
        <w:trPr>
          <w:tblCellSpacing w:w="15" w:type="dxa"/>
        </w:trPr>
        <w:tc>
          <w:tcPr>
            <w:tcW w:w="0" w:type="auto"/>
            <w:vAlign w:val="center"/>
            <w:hideMark/>
          </w:tcPr>
          <w:p w14:paraId="48E15281"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9.1 – Faute médicale</w:t>
            </w:r>
          </w:p>
        </w:tc>
        <w:tc>
          <w:tcPr>
            <w:tcW w:w="0" w:type="auto"/>
            <w:vAlign w:val="center"/>
            <w:hideMark/>
          </w:tcPr>
          <w:p w14:paraId="072709B7"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Code civil suisse</w:t>
            </w:r>
          </w:p>
        </w:tc>
        <w:tc>
          <w:tcPr>
            <w:tcW w:w="0" w:type="auto"/>
            <w:vAlign w:val="center"/>
            <w:hideMark/>
          </w:tcPr>
          <w:p w14:paraId="7FAC65B4" w14:textId="77777777" w:rsidR="008779B7" w:rsidRPr="008779B7" w:rsidRDefault="008779B7" w:rsidP="008779B7">
            <w:pPr>
              <w:spacing w:after="0" w:line="240" w:lineRule="auto"/>
              <w:rPr>
                <w:rFonts w:ascii="Times New Roman" w:eastAsia="Times New Roman" w:hAnsi="Times New Roman" w:cs="Times New Roman"/>
                <w:kern w:val="0"/>
                <w:sz w:val="24"/>
                <w:szCs w:val="24"/>
                <w:lang w:eastAsia="fr-CH"/>
                <w14:ligatures w14:val="none"/>
              </w:rPr>
            </w:pPr>
            <w:r w:rsidRPr="008779B7">
              <w:rPr>
                <w:rFonts w:ascii="Times New Roman" w:eastAsia="Times New Roman" w:hAnsi="Times New Roman" w:cs="Times New Roman"/>
                <w:kern w:val="0"/>
                <w:sz w:val="24"/>
                <w:szCs w:val="24"/>
                <w:lang w:eastAsia="fr-CH"/>
                <w14:ligatures w14:val="none"/>
              </w:rPr>
              <w:t>Négligence grave du médecin</w:t>
            </w:r>
          </w:p>
        </w:tc>
      </w:tr>
    </w:tbl>
    <w:p w14:paraId="5FB1C912" w14:textId="77777777" w:rsidR="00607855" w:rsidRPr="00607855" w:rsidRDefault="00607855" w:rsidP="00607855">
      <w:pPr>
        <w:pStyle w:val="P"/>
      </w:pPr>
    </w:p>
    <w:sectPr w:rsidR="00607855" w:rsidRPr="00607855" w:rsidSect="00E4742B">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BA5AE" w14:textId="77777777" w:rsidR="008779B7" w:rsidRDefault="008779B7" w:rsidP="00B822D2">
      <w:pPr>
        <w:spacing w:after="0" w:line="240" w:lineRule="auto"/>
      </w:pPr>
      <w:r>
        <w:separator/>
      </w:r>
    </w:p>
  </w:endnote>
  <w:endnote w:type="continuationSeparator" w:id="0">
    <w:p w14:paraId="358B402F" w14:textId="77777777" w:rsidR="008779B7" w:rsidRDefault="008779B7" w:rsidP="00B82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52E6F" w14:textId="77777777" w:rsidR="00A41177" w:rsidRDefault="00A411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ADA43" w14:textId="77777777" w:rsidR="00B822D2" w:rsidRPr="00AD6B9D" w:rsidRDefault="00E4742B" w:rsidP="00AD6B9D">
    <w:pPr>
      <w:pStyle w:val="Pieddepage"/>
      <w:pBdr>
        <w:top w:val="single" w:sz="4" w:space="6" w:color="53717F" w:themeColor="text2" w:themeTint="BF"/>
      </w:pBdr>
      <w:tabs>
        <w:tab w:val="clear" w:pos="4536"/>
      </w:tabs>
      <w:rPr>
        <w:rFonts w:ascii="Arial" w:hAnsi="Arial" w:cs="Arial"/>
      </w:rPr>
    </w:pPr>
    <w:r w:rsidRPr="00AD6B9D">
      <w:rPr>
        <w:rFonts w:ascii="Arial" w:hAnsi="Arial" w:cs="Arial"/>
      </w:rPr>
      <w:t>© L. Petoud</w:t>
    </w:r>
    <w:r w:rsidR="00536263" w:rsidRPr="00AD6B9D">
      <w:rPr>
        <w:rFonts w:ascii="Arial" w:hAnsi="Arial" w:cs="Arial"/>
      </w:rPr>
      <w:t xml:space="preserve"> - </w:t>
    </w:r>
    <w:r w:rsidR="00536263" w:rsidRPr="00AD6B9D">
      <w:rPr>
        <w:rFonts w:ascii="Arial" w:hAnsi="Arial" w:cs="Arial"/>
      </w:rPr>
      <w:fldChar w:fldCharType="begin"/>
    </w:r>
    <w:r w:rsidR="00536263" w:rsidRPr="00AD6B9D">
      <w:rPr>
        <w:rFonts w:ascii="Arial" w:hAnsi="Arial" w:cs="Arial"/>
      </w:rPr>
      <w:instrText xml:space="preserve"> TIME  \@ "MMMM yyyy"  \* MERGEFORMAT </w:instrText>
    </w:r>
    <w:r w:rsidR="00536263" w:rsidRPr="00AD6B9D">
      <w:rPr>
        <w:rFonts w:ascii="Arial" w:hAnsi="Arial" w:cs="Arial"/>
      </w:rPr>
      <w:fldChar w:fldCharType="separate"/>
    </w:r>
    <w:r w:rsidR="008779B7">
      <w:rPr>
        <w:rFonts w:ascii="Arial" w:hAnsi="Arial" w:cs="Arial"/>
        <w:noProof/>
      </w:rPr>
      <w:t>mai 2025</w:t>
    </w:r>
    <w:r w:rsidR="00536263" w:rsidRPr="00AD6B9D">
      <w:rPr>
        <w:rFonts w:ascii="Arial" w:hAnsi="Arial" w:cs="Arial"/>
      </w:rPr>
      <w:fldChar w:fldCharType="end"/>
    </w:r>
    <w:r w:rsidRPr="00AD6B9D">
      <w:rPr>
        <w:rFonts w:ascii="Arial" w:hAnsi="Arial" w:cs="Arial"/>
      </w:rPr>
      <w:tab/>
    </w:r>
    <w:r w:rsidRPr="00AD6B9D">
      <w:rPr>
        <w:rFonts w:ascii="Arial" w:hAnsi="Arial" w:cs="Arial"/>
        <w:b/>
        <w:bCs/>
      </w:rPr>
      <w:fldChar w:fldCharType="begin"/>
    </w:r>
    <w:r w:rsidRPr="00AD6B9D">
      <w:rPr>
        <w:rFonts w:ascii="Arial" w:hAnsi="Arial" w:cs="Arial"/>
        <w:b/>
        <w:bCs/>
      </w:rPr>
      <w:instrText>PAGE  \* Arabic  \* MERGEFORMAT</w:instrText>
    </w:r>
    <w:r w:rsidRPr="00AD6B9D">
      <w:rPr>
        <w:rFonts w:ascii="Arial" w:hAnsi="Arial" w:cs="Arial"/>
        <w:b/>
        <w:bCs/>
      </w:rPr>
      <w:fldChar w:fldCharType="separate"/>
    </w:r>
    <w:r w:rsidRPr="00AD6B9D">
      <w:rPr>
        <w:rFonts w:ascii="Arial" w:hAnsi="Arial" w:cs="Arial"/>
        <w:b/>
        <w:bCs/>
        <w:lang w:val="fr-FR"/>
      </w:rPr>
      <w:t>1</w:t>
    </w:r>
    <w:r w:rsidRPr="00AD6B9D">
      <w:rPr>
        <w:rFonts w:ascii="Arial" w:hAnsi="Arial" w:cs="Arial"/>
        <w:b/>
        <w:bCs/>
      </w:rPr>
      <w:fldChar w:fldCharType="end"/>
    </w:r>
    <w:r w:rsidRPr="00AD6B9D">
      <w:rPr>
        <w:rFonts w:ascii="Arial" w:hAnsi="Arial" w:cs="Arial"/>
        <w:lang w:val="fr-FR"/>
      </w:rPr>
      <w:t xml:space="preserve"> sur </w:t>
    </w:r>
    <w:r w:rsidRPr="00AD6B9D">
      <w:rPr>
        <w:rFonts w:ascii="Arial" w:hAnsi="Arial" w:cs="Arial"/>
        <w:b/>
        <w:bCs/>
      </w:rPr>
      <w:fldChar w:fldCharType="begin"/>
    </w:r>
    <w:r w:rsidRPr="00AD6B9D">
      <w:rPr>
        <w:rFonts w:ascii="Arial" w:hAnsi="Arial" w:cs="Arial"/>
        <w:b/>
        <w:bCs/>
      </w:rPr>
      <w:instrText>NUMPAGES  \* Arabic  \* MERGEFORMAT</w:instrText>
    </w:r>
    <w:r w:rsidRPr="00AD6B9D">
      <w:rPr>
        <w:rFonts w:ascii="Arial" w:hAnsi="Arial" w:cs="Arial"/>
        <w:b/>
        <w:bCs/>
      </w:rPr>
      <w:fldChar w:fldCharType="separate"/>
    </w:r>
    <w:r w:rsidRPr="00AD6B9D">
      <w:rPr>
        <w:rFonts w:ascii="Arial" w:hAnsi="Arial" w:cs="Arial"/>
        <w:b/>
        <w:bCs/>
        <w:lang w:val="fr-FR"/>
      </w:rPr>
      <w:t>2</w:t>
    </w:r>
    <w:r w:rsidRPr="00AD6B9D">
      <w:rPr>
        <w:rFonts w:ascii="Arial" w:hAnsi="Arial" w:cs="Arial"/>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E62C1" w14:textId="77777777" w:rsidR="00A41177" w:rsidRDefault="00A411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50CA0" w14:textId="77777777" w:rsidR="008779B7" w:rsidRDefault="008779B7" w:rsidP="00B822D2">
      <w:pPr>
        <w:spacing w:after="0" w:line="240" w:lineRule="auto"/>
      </w:pPr>
      <w:r>
        <w:separator/>
      </w:r>
    </w:p>
  </w:footnote>
  <w:footnote w:type="continuationSeparator" w:id="0">
    <w:p w14:paraId="68760486" w14:textId="77777777" w:rsidR="008779B7" w:rsidRDefault="008779B7" w:rsidP="00B822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2B239" w14:textId="77777777" w:rsidR="00A41177" w:rsidRDefault="00A411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08FC" w14:textId="77777777" w:rsidR="00B822D2" w:rsidRDefault="00A41177" w:rsidP="00A41177">
    <w:pPr>
      <w:pStyle w:val="En-tte"/>
      <w:pBdr>
        <w:bottom w:val="single" w:sz="4" w:space="3" w:color="53717F" w:themeColor="text2" w:themeTint="BF"/>
      </w:pBdr>
      <w:tabs>
        <w:tab w:val="clear" w:pos="4536"/>
      </w:tabs>
    </w:pPr>
    <w:r>
      <w:rPr>
        <w:noProof/>
      </w:rPr>
      <w:drawing>
        <wp:anchor distT="0" distB="0" distL="114300" distR="114300" simplePos="0" relativeHeight="251659264" behindDoc="0" locked="0" layoutInCell="1" allowOverlap="1" wp14:anchorId="5BB9DB2E" wp14:editId="041A4862">
          <wp:simplePos x="0" y="0"/>
          <wp:positionH relativeFrom="column">
            <wp:posOffset>-437727</wp:posOffset>
          </wp:positionH>
          <wp:positionV relativeFrom="paragraph">
            <wp:posOffset>-345652</wp:posOffset>
          </wp:positionV>
          <wp:extent cx="492338" cy="492338"/>
          <wp:effectExtent l="0" t="0" r="3175" b="3175"/>
          <wp:wrapNone/>
          <wp:docPr id="2030632570" name="Image 3" descr="Une image contenant symbole, logo, Graphiqu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01536" name="Image 3" descr="Une image contenant symbole, logo, Graphique, clipart&#10;&#10;Le contenu généré par l’IA peut être incorrect."/>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Lst>
                  </a:blip>
                  <a:stretch>
                    <a:fillRect/>
                  </a:stretch>
                </pic:blipFill>
                <pic:spPr>
                  <a:xfrm>
                    <a:off x="0" y="0"/>
                    <a:ext cx="492338" cy="492338"/>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D678" w14:textId="77777777" w:rsidR="00A41177" w:rsidRDefault="00A411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3AF4"/>
    <w:multiLevelType w:val="hybridMultilevel"/>
    <w:tmpl w:val="2AAA2CE2"/>
    <w:lvl w:ilvl="0" w:tplc="31A883CC">
      <w:start w:val="1"/>
      <w:numFmt w:val="upperRoman"/>
      <w:pStyle w:val="Titre1"/>
      <w:lvlText w:val="%1."/>
      <w:lvlJc w:val="right"/>
      <w:pPr>
        <w:ind w:left="720" w:hanging="360"/>
      </w:pPr>
      <w:rPr>
        <w:rFonts w:hint="default"/>
        <w:b/>
        <w:bCs/>
        <w:color w:val="90C226" w:themeColor="accent1"/>
        <w:spacing w:val="-1"/>
        <w:w w:val="1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5C86E9A"/>
    <w:multiLevelType w:val="multilevel"/>
    <w:tmpl w:val="94EC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F5FE2"/>
    <w:multiLevelType w:val="multilevel"/>
    <w:tmpl w:val="58A8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2261A"/>
    <w:multiLevelType w:val="multilevel"/>
    <w:tmpl w:val="E570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7085A"/>
    <w:multiLevelType w:val="multilevel"/>
    <w:tmpl w:val="293A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82ED7"/>
    <w:multiLevelType w:val="multilevel"/>
    <w:tmpl w:val="5AA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12ADD"/>
    <w:multiLevelType w:val="multilevel"/>
    <w:tmpl w:val="4D30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45847"/>
    <w:multiLevelType w:val="multilevel"/>
    <w:tmpl w:val="E54A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26E9C"/>
    <w:multiLevelType w:val="multilevel"/>
    <w:tmpl w:val="4F72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AA488D"/>
    <w:multiLevelType w:val="multilevel"/>
    <w:tmpl w:val="03AA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236439"/>
    <w:multiLevelType w:val="multilevel"/>
    <w:tmpl w:val="403C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B0A6F"/>
    <w:multiLevelType w:val="multilevel"/>
    <w:tmpl w:val="FFB4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AE3D19"/>
    <w:multiLevelType w:val="multilevel"/>
    <w:tmpl w:val="6104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702C1F"/>
    <w:multiLevelType w:val="multilevel"/>
    <w:tmpl w:val="DD78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3644E9"/>
    <w:multiLevelType w:val="multilevel"/>
    <w:tmpl w:val="A7FC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9B5E28"/>
    <w:multiLevelType w:val="multilevel"/>
    <w:tmpl w:val="C4E2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EB36AF"/>
    <w:multiLevelType w:val="multilevel"/>
    <w:tmpl w:val="2AE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2A3823"/>
    <w:multiLevelType w:val="hybridMultilevel"/>
    <w:tmpl w:val="FFF27E8A"/>
    <w:lvl w:ilvl="0" w:tplc="F424B06E">
      <w:start w:val="1"/>
      <w:numFmt w:val="lowerLetter"/>
      <w:pStyle w:val="Paragraphedeliste"/>
      <w:lvlText w:val="(%1)"/>
      <w:lvlJc w:val="right"/>
      <w:pPr>
        <w:ind w:left="720" w:hanging="360"/>
      </w:pPr>
      <w:rPr>
        <w:rFonts w:hint="default"/>
        <w:b/>
        <w:bCs/>
        <w:color w:val="90C226" w:themeColor="accent1"/>
        <w:spacing w:val="-1"/>
        <w:w w:val="10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34B37782"/>
    <w:multiLevelType w:val="multilevel"/>
    <w:tmpl w:val="EB88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4C6A12"/>
    <w:multiLevelType w:val="multilevel"/>
    <w:tmpl w:val="F244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27388D"/>
    <w:multiLevelType w:val="multilevel"/>
    <w:tmpl w:val="8C88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10397"/>
    <w:multiLevelType w:val="multilevel"/>
    <w:tmpl w:val="B50C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570252"/>
    <w:multiLevelType w:val="multilevel"/>
    <w:tmpl w:val="87B4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005B1"/>
    <w:multiLevelType w:val="multilevel"/>
    <w:tmpl w:val="11EA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9B183D"/>
    <w:multiLevelType w:val="multilevel"/>
    <w:tmpl w:val="3C76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DE0D6D"/>
    <w:multiLevelType w:val="multilevel"/>
    <w:tmpl w:val="8166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3C0319"/>
    <w:multiLevelType w:val="multilevel"/>
    <w:tmpl w:val="0290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544103"/>
    <w:multiLevelType w:val="multilevel"/>
    <w:tmpl w:val="7ECE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7C2596"/>
    <w:multiLevelType w:val="multilevel"/>
    <w:tmpl w:val="3ADE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8945A7"/>
    <w:multiLevelType w:val="multilevel"/>
    <w:tmpl w:val="D560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317F62"/>
    <w:multiLevelType w:val="multilevel"/>
    <w:tmpl w:val="299C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C23288"/>
    <w:multiLevelType w:val="multilevel"/>
    <w:tmpl w:val="A272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D422BA"/>
    <w:multiLevelType w:val="multilevel"/>
    <w:tmpl w:val="E52C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BB7C78"/>
    <w:multiLevelType w:val="multilevel"/>
    <w:tmpl w:val="ADE4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E37A9F"/>
    <w:multiLevelType w:val="multilevel"/>
    <w:tmpl w:val="D44E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D6E62"/>
    <w:multiLevelType w:val="multilevel"/>
    <w:tmpl w:val="E340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181859"/>
    <w:multiLevelType w:val="multilevel"/>
    <w:tmpl w:val="8112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3C4F06"/>
    <w:multiLevelType w:val="multilevel"/>
    <w:tmpl w:val="BAE2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56188B"/>
    <w:multiLevelType w:val="multilevel"/>
    <w:tmpl w:val="8316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4B538A"/>
    <w:multiLevelType w:val="multilevel"/>
    <w:tmpl w:val="37D8D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8A74C9"/>
    <w:multiLevelType w:val="multilevel"/>
    <w:tmpl w:val="1692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8625918">
    <w:abstractNumId w:val="0"/>
  </w:num>
  <w:num w:numId="2" w16cid:durableId="2079207191">
    <w:abstractNumId w:val="17"/>
  </w:num>
  <w:num w:numId="3" w16cid:durableId="1530532093">
    <w:abstractNumId w:val="5"/>
  </w:num>
  <w:num w:numId="4" w16cid:durableId="115955777">
    <w:abstractNumId w:val="3"/>
  </w:num>
  <w:num w:numId="5" w16cid:durableId="1231035128">
    <w:abstractNumId w:val="4"/>
  </w:num>
  <w:num w:numId="6" w16cid:durableId="656880277">
    <w:abstractNumId w:val="27"/>
  </w:num>
  <w:num w:numId="7" w16cid:durableId="1994411052">
    <w:abstractNumId w:val="33"/>
  </w:num>
  <w:num w:numId="8" w16cid:durableId="495346901">
    <w:abstractNumId w:val="8"/>
  </w:num>
  <w:num w:numId="9" w16cid:durableId="715279819">
    <w:abstractNumId w:val="35"/>
  </w:num>
  <w:num w:numId="10" w16cid:durableId="1270815377">
    <w:abstractNumId w:val="19"/>
  </w:num>
  <w:num w:numId="11" w16cid:durableId="1164322317">
    <w:abstractNumId w:val="14"/>
  </w:num>
  <w:num w:numId="12" w16cid:durableId="520358331">
    <w:abstractNumId w:val="11"/>
  </w:num>
  <w:num w:numId="13" w16cid:durableId="1277178187">
    <w:abstractNumId w:val="9"/>
  </w:num>
  <w:num w:numId="14" w16cid:durableId="633217604">
    <w:abstractNumId w:val="40"/>
  </w:num>
  <w:num w:numId="15" w16cid:durableId="482937402">
    <w:abstractNumId w:val="21"/>
  </w:num>
  <w:num w:numId="16" w16cid:durableId="452679829">
    <w:abstractNumId w:val="20"/>
  </w:num>
  <w:num w:numId="17" w16cid:durableId="965042591">
    <w:abstractNumId w:val="26"/>
  </w:num>
  <w:num w:numId="18" w16cid:durableId="563099338">
    <w:abstractNumId w:val="23"/>
  </w:num>
  <w:num w:numId="19" w16cid:durableId="1690830320">
    <w:abstractNumId w:val="36"/>
  </w:num>
  <w:num w:numId="20" w16cid:durableId="1735816779">
    <w:abstractNumId w:val="37"/>
  </w:num>
  <w:num w:numId="21" w16cid:durableId="184754301">
    <w:abstractNumId w:val="16"/>
  </w:num>
  <w:num w:numId="22" w16cid:durableId="938565361">
    <w:abstractNumId w:val="31"/>
  </w:num>
  <w:num w:numId="23" w16cid:durableId="136337790">
    <w:abstractNumId w:val="10"/>
  </w:num>
  <w:num w:numId="24" w16cid:durableId="945235179">
    <w:abstractNumId w:val="22"/>
  </w:num>
  <w:num w:numId="25" w16cid:durableId="1235513180">
    <w:abstractNumId w:val="12"/>
  </w:num>
  <w:num w:numId="26" w16cid:durableId="1431928301">
    <w:abstractNumId w:val="15"/>
  </w:num>
  <w:num w:numId="27" w16cid:durableId="232205258">
    <w:abstractNumId w:val="7"/>
  </w:num>
  <w:num w:numId="28" w16cid:durableId="768896042">
    <w:abstractNumId w:val="34"/>
  </w:num>
  <w:num w:numId="29" w16cid:durableId="1696150744">
    <w:abstractNumId w:val="25"/>
  </w:num>
  <w:num w:numId="30" w16cid:durableId="642468460">
    <w:abstractNumId w:val="28"/>
  </w:num>
  <w:num w:numId="31" w16cid:durableId="1166244726">
    <w:abstractNumId w:val="29"/>
  </w:num>
  <w:num w:numId="32" w16cid:durableId="551427205">
    <w:abstractNumId w:val="13"/>
  </w:num>
  <w:num w:numId="33" w16cid:durableId="751895676">
    <w:abstractNumId w:val="1"/>
  </w:num>
  <w:num w:numId="34" w16cid:durableId="70003594">
    <w:abstractNumId w:val="6"/>
  </w:num>
  <w:num w:numId="35" w16cid:durableId="1660570479">
    <w:abstractNumId w:val="24"/>
  </w:num>
  <w:num w:numId="36" w16cid:durableId="1645810735">
    <w:abstractNumId w:val="38"/>
  </w:num>
  <w:num w:numId="37" w16cid:durableId="575090153">
    <w:abstractNumId w:val="32"/>
  </w:num>
  <w:num w:numId="38" w16cid:durableId="1773470448">
    <w:abstractNumId w:val="18"/>
  </w:num>
  <w:num w:numId="39" w16cid:durableId="120273640">
    <w:abstractNumId w:val="30"/>
  </w:num>
  <w:num w:numId="40" w16cid:durableId="1703238873">
    <w:abstractNumId w:val="39"/>
  </w:num>
  <w:num w:numId="41" w16cid:durableId="17457577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9B7"/>
    <w:rsid w:val="00036700"/>
    <w:rsid w:val="002E02D3"/>
    <w:rsid w:val="00381710"/>
    <w:rsid w:val="00416CF2"/>
    <w:rsid w:val="00444503"/>
    <w:rsid w:val="005067A7"/>
    <w:rsid w:val="00536263"/>
    <w:rsid w:val="00540ACB"/>
    <w:rsid w:val="00607855"/>
    <w:rsid w:val="006637E1"/>
    <w:rsid w:val="006A2FA5"/>
    <w:rsid w:val="008779B7"/>
    <w:rsid w:val="008F5761"/>
    <w:rsid w:val="009354CB"/>
    <w:rsid w:val="009B518F"/>
    <w:rsid w:val="00A41177"/>
    <w:rsid w:val="00AB7BF7"/>
    <w:rsid w:val="00AD6B9D"/>
    <w:rsid w:val="00B822D2"/>
    <w:rsid w:val="00BB7EA2"/>
    <w:rsid w:val="00CE58FA"/>
    <w:rsid w:val="00E4742B"/>
    <w:rsid w:val="00EF12C4"/>
    <w:rsid w:val="00F72E1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C495E"/>
  <w15:chartTrackingRefBased/>
  <w15:docId w15:val="{EAA739A6-1E32-41EF-85AF-B0CE3921D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B9D"/>
  </w:style>
  <w:style w:type="paragraph" w:styleId="Titre1">
    <w:name w:val="heading 1"/>
    <w:basedOn w:val="Normal"/>
    <w:next w:val="Normal"/>
    <w:link w:val="Titre1Car"/>
    <w:uiPriority w:val="9"/>
    <w:qFormat/>
    <w:rsid w:val="00CE58FA"/>
    <w:pPr>
      <w:keepNext/>
      <w:keepLines/>
      <w:numPr>
        <w:numId w:val="1"/>
      </w:numPr>
      <w:pBdr>
        <w:bottom w:val="single" w:sz="4" w:space="4" w:color="53717F" w:themeColor="text2" w:themeTint="BF"/>
      </w:pBdr>
      <w:spacing w:before="80" w:after="80"/>
      <w:jc w:val="both"/>
      <w:outlineLvl w:val="0"/>
    </w:pPr>
    <w:rPr>
      <w:rFonts w:ascii="Arial" w:eastAsiaTheme="majorEastAsia" w:hAnsi="Arial" w:cs="Arial"/>
      <w:b/>
      <w:bCs/>
      <w:color w:val="0070C0"/>
      <w:sz w:val="24"/>
      <w:szCs w:val="24"/>
    </w:rPr>
  </w:style>
  <w:style w:type="paragraph" w:styleId="Titre2">
    <w:name w:val="heading 2"/>
    <w:basedOn w:val="Normal"/>
    <w:next w:val="Normal"/>
    <w:link w:val="Titre2Car"/>
    <w:uiPriority w:val="9"/>
    <w:semiHidden/>
    <w:unhideWhenUsed/>
    <w:qFormat/>
    <w:rsid w:val="00B822D2"/>
    <w:pPr>
      <w:keepNext/>
      <w:keepLines/>
      <w:spacing w:before="160" w:after="80"/>
      <w:outlineLvl w:val="1"/>
    </w:pPr>
    <w:rPr>
      <w:rFonts w:asciiTheme="majorHAnsi" w:eastAsiaTheme="majorEastAsia" w:hAnsiTheme="majorHAnsi" w:cstheme="majorBidi"/>
      <w:color w:val="6B911C" w:themeColor="accent1" w:themeShade="BF"/>
      <w:sz w:val="32"/>
      <w:szCs w:val="32"/>
    </w:rPr>
  </w:style>
  <w:style w:type="paragraph" w:styleId="Titre3">
    <w:name w:val="heading 3"/>
    <w:basedOn w:val="Normal"/>
    <w:next w:val="Normal"/>
    <w:link w:val="Titre3Car"/>
    <w:uiPriority w:val="9"/>
    <w:semiHidden/>
    <w:unhideWhenUsed/>
    <w:qFormat/>
    <w:rsid w:val="00B822D2"/>
    <w:pPr>
      <w:keepNext/>
      <w:keepLines/>
      <w:spacing w:before="160" w:after="80"/>
      <w:outlineLvl w:val="2"/>
    </w:pPr>
    <w:rPr>
      <w:rFonts w:eastAsiaTheme="majorEastAsia" w:cstheme="majorBidi"/>
      <w:color w:val="6B911C" w:themeColor="accent1" w:themeShade="BF"/>
      <w:sz w:val="28"/>
      <w:szCs w:val="28"/>
    </w:rPr>
  </w:style>
  <w:style w:type="paragraph" w:styleId="Titre4">
    <w:name w:val="heading 4"/>
    <w:basedOn w:val="Normal"/>
    <w:next w:val="Normal"/>
    <w:link w:val="Titre4Car"/>
    <w:uiPriority w:val="9"/>
    <w:semiHidden/>
    <w:unhideWhenUsed/>
    <w:qFormat/>
    <w:rsid w:val="00B822D2"/>
    <w:pPr>
      <w:keepNext/>
      <w:keepLines/>
      <w:spacing w:before="80" w:after="40"/>
      <w:outlineLvl w:val="3"/>
    </w:pPr>
    <w:rPr>
      <w:rFonts w:eastAsiaTheme="majorEastAsia" w:cstheme="majorBidi"/>
      <w:i/>
      <w:iCs/>
      <w:color w:val="6B911C" w:themeColor="accent1" w:themeShade="BF"/>
    </w:rPr>
  </w:style>
  <w:style w:type="paragraph" w:styleId="Titre5">
    <w:name w:val="heading 5"/>
    <w:basedOn w:val="Normal"/>
    <w:next w:val="Normal"/>
    <w:link w:val="Titre5Car"/>
    <w:uiPriority w:val="9"/>
    <w:semiHidden/>
    <w:unhideWhenUsed/>
    <w:qFormat/>
    <w:rsid w:val="00B822D2"/>
    <w:pPr>
      <w:keepNext/>
      <w:keepLines/>
      <w:spacing w:before="80" w:after="40"/>
      <w:outlineLvl w:val="4"/>
    </w:pPr>
    <w:rPr>
      <w:rFonts w:eastAsiaTheme="majorEastAsia" w:cstheme="majorBidi"/>
      <w:color w:val="6B911C" w:themeColor="accent1" w:themeShade="BF"/>
    </w:rPr>
  </w:style>
  <w:style w:type="paragraph" w:styleId="Titre6">
    <w:name w:val="heading 6"/>
    <w:basedOn w:val="Normal"/>
    <w:next w:val="Normal"/>
    <w:link w:val="Titre6Car"/>
    <w:uiPriority w:val="9"/>
    <w:semiHidden/>
    <w:unhideWhenUsed/>
    <w:qFormat/>
    <w:rsid w:val="00B822D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822D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822D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822D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58FA"/>
    <w:rPr>
      <w:rFonts w:ascii="Arial" w:eastAsiaTheme="majorEastAsia" w:hAnsi="Arial" w:cs="Arial"/>
      <w:b/>
      <w:bCs/>
      <w:color w:val="0070C0"/>
      <w:sz w:val="24"/>
      <w:szCs w:val="24"/>
    </w:rPr>
  </w:style>
  <w:style w:type="character" w:customStyle="1" w:styleId="Titre2Car">
    <w:name w:val="Titre 2 Car"/>
    <w:basedOn w:val="Policepardfaut"/>
    <w:link w:val="Titre2"/>
    <w:uiPriority w:val="9"/>
    <w:semiHidden/>
    <w:rsid w:val="00B822D2"/>
    <w:rPr>
      <w:rFonts w:asciiTheme="majorHAnsi" w:eastAsiaTheme="majorEastAsia" w:hAnsiTheme="majorHAnsi" w:cstheme="majorBidi"/>
      <w:color w:val="6B911C" w:themeColor="accent1" w:themeShade="BF"/>
      <w:sz w:val="32"/>
      <w:szCs w:val="32"/>
    </w:rPr>
  </w:style>
  <w:style w:type="character" w:customStyle="1" w:styleId="Titre3Car">
    <w:name w:val="Titre 3 Car"/>
    <w:basedOn w:val="Policepardfaut"/>
    <w:link w:val="Titre3"/>
    <w:uiPriority w:val="9"/>
    <w:semiHidden/>
    <w:rsid w:val="00B822D2"/>
    <w:rPr>
      <w:rFonts w:eastAsiaTheme="majorEastAsia" w:cstheme="majorBidi"/>
      <w:color w:val="6B911C" w:themeColor="accent1" w:themeShade="BF"/>
      <w:sz w:val="28"/>
      <w:szCs w:val="28"/>
    </w:rPr>
  </w:style>
  <w:style w:type="character" w:customStyle="1" w:styleId="Titre4Car">
    <w:name w:val="Titre 4 Car"/>
    <w:basedOn w:val="Policepardfaut"/>
    <w:link w:val="Titre4"/>
    <w:uiPriority w:val="9"/>
    <w:semiHidden/>
    <w:rsid w:val="00B822D2"/>
    <w:rPr>
      <w:rFonts w:eastAsiaTheme="majorEastAsia" w:cstheme="majorBidi"/>
      <w:i/>
      <w:iCs/>
      <w:color w:val="6B911C" w:themeColor="accent1" w:themeShade="BF"/>
    </w:rPr>
  </w:style>
  <w:style w:type="character" w:customStyle="1" w:styleId="Titre5Car">
    <w:name w:val="Titre 5 Car"/>
    <w:basedOn w:val="Policepardfaut"/>
    <w:link w:val="Titre5"/>
    <w:uiPriority w:val="9"/>
    <w:semiHidden/>
    <w:rsid w:val="00B822D2"/>
    <w:rPr>
      <w:rFonts w:eastAsiaTheme="majorEastAsia" w:cstheme="majorBidi"/>
      <w:color w:val="6B911C" w:themeColor="accent1" w:themeShade="BF"/>
    </w:rPr>
  </w:style>
  <w:style w:type="character" w:customStyle="1" w:styleId="Titre6Car">
    <w:name w:val="Titre 6 Car"/>
    <w:basedOn w:val="Policepardfaut"/>
    <w:link w:val="Titre6"/>
    <w:uiPriority w:val="9"/>
    <w:semiHidden/>
    <w:rsid w:val="00B822D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822D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822D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822D2"/>
    <w:rPr>
      <w:rFonts w:eastAsiaTheme="majorEastAsia" w:cstheme="majorBidi"/>
      <w:color w:val="272727" w:themeColor="text1" w:themeTint="D8"/>
    </w:rPr>
  </w:style>
  <w:style w:type="paragraph" w:styleId="Titre">
    <w:name w:val="Title"/>
    <w:basedOn w:val="Normal"/>
    <w:next w:val="Normal"/>
    <w:link w:val="TitreCar"/>
    <w:uiPriority w:val="10"/>
    <w:qFormat/>
    <w:rsid w:val="00B822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822D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822D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822D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822D2"/>
    <w:pPr>
      <w:spacing w:before="160"/>
      <w:jc w:val="center"/>
    </w:pPr>
    <w:rPr>
      <w:i/>
      <w:iCs/>
      <w:color w:val="404040" w:themeColor="text1" w:themeTint="BF"/>
    </w:rPr>
  </w:style>
  <w:style w:type="character" w:customStyle="1" w:styleId="CitationCar">
    <w:name w:val="Citation Car"/>
    <w:basedOn w:val="Policepardfaut"/>
    <w:link w:val="Citation"/>
    <w:uiPriority w:val="29"/>
    <w:rsid w:val="00B822D2"/>
    <w:rPr>
      <w:i/>
      <w:iCs/>
      <w:color w:val="404040" w:themeColor="text1" w:themeTint="BF"/>
    </w:rPr>
  </w:style>
  <w:style w:type="paragraph" w:styleId="Paragraphedeliste">
    <w:name w:val="List Paragraph"/>
    <w:basedOn w:val="Normal"/>
    <w:uiPriority w:val="34"/>
    <w:qFormat/>
    <w:rsid w:val="00607855"/>
    <w:pPr>
      <w:numPr>
        <w:numId w:val="2"/>
      </w:numPr>
      <w:spacing w:before="60" w:after="60"/>
      <w:ind w:left="1134"/>
      <w:contextualSpacing/>
      <w:jc w:val="both"/>
    </w:pPr>
    <w:rPr>
      <w:rFonts w:ascii="Arial" w:hAnsi="Arial" w:cs="Arial"/>
      <w:sz w:val="20"/>
      <w:szCs w:val="20"/>
    </w:rPr>
  </w:style>
  <w:style w:type="character" w:styleId="Accentuationintense">
    <w:name w:val="Intense Emphasis"/>
    <w:basedOn w:val="Policepardfaut"/>
    <w:uiPriority w:val="21"/>
    <w:qFormat/>
    <w:rsid w:val="00B822D2"/>
    <w:rPr>
      <w:i/>
      <w:iCs/>
      <w:color w:val="6B911C" w:themeColor="accent1" w:themeShade="BF"/>
    </w:rPr>
  </w:style>
  <w:style w:type="paragraph" w:styleId="Citationintense">
    <w:name w:val="Intense Quote"/>
    <w:basedOn w:val="Normal"/>
    <w:next w:val="Normal"/>
    <w:link w:val="CitationintenseCar"/>
    <w:uiPriority w:val="30"/>
    <w:qFormat/>
    <w:rsid w:val="00B822D2"/>
    <w:pPr>
      <w:pBdr>
        <w:top w:val="single" w:sz="4" w:space="10" w:color="6B911C" w:themeColor="accent1" w:themeShade="BF"/>
        <w:bottom w:val="single" w:sz="4" w:space="10" w:color="6B911C" w:themeColor="accent1" w:themeShade="BF"/>
      </w:pBdr>
      <w:spacing w:before="360" w:after="360"/>
      <w:ind w:left="864" w:right="864"/>
      <w:jc w:val="center"/>
    </w:pPr>
    <w:rPr>
      <w:i/>
      <w:iCs/>
      <w:color w:val="6B911C" w:themeColor="accent1" w:themeShade="BF"/>
    </w:rPr>
  </w:style>
  <w:style w:type="character" w:customStyle="1" w:styleId="CitationintenseCar">
    <w:name w:val="Citation intense Car"/>
    <w:basedOn w:val="Policepardfaut"/>
    <w:link w:val="Citationintense"/>
    <w:uiPriority w:val="30"/>
    <w:rsid w:val="00B822D2"/>
    <w:rPr>
      <w:i/>
      <w:iCs/>
      <w:color w:val="6B911C" w:themeColor="accent1" w:themeShade="BF"/>
    </w:rPr>
  </w:style>
  <w:style w:type="character" w:styleId="Rfrenceintense">
    <w:name w:val="Intense Reference"/>
    <w:basedOn w:val="Policepardfaut"/>
    <w:uiPriority w:val="32"/>
    <w:qFormat/>
    <w:rsid w:val="00B822D2"/>
    <w:rPr>
      <w:b/>
      <w:bCs/>
      <w:smallCaps/>
      <w:color w:val="6B911C" w:themeColor="accent1" w:themeShade="BF"/>
      <w:spacing w:val="5"/>
    </w:rPr>
  </w:style>
  <w:style w:type="paragraph" w:styleId="En-tte">
    <w:name w:val="header"/>
    <w:basedOn w:val="Normal"/>
    <w:link w:val="En-tteCar"/>
    <w:uiPriority w:val="99"/>
    <w:unhideWhenUsed/>
    <w:rsid w:val="00B822D2"/>
    <w:pPr>
      <w:tabs>
        <w:tab w:val="center" w:pos="4536"/>
        <w:tab w:val="right" w:pos="9072"/>
      </w:tabs>
      <w:spacing w:after="0" w:line="240" w:lineRule="auto"/>
    </w:pPr>
  </w:style>
  <w:style w:type="character" w:customStyle="1" w:styleId="En-tteCar">
    <w:name w:val="En-tête Car"/>
    <w:basedOn w:val="Policepardfaut"/>
    <w:link w:val="En-tte"/>
    <w:uiPriority w:val="99"/>
    <w:rsid w:val="00B822D2"/>
  </w:style>
  <w:style w:type="paragraph" w:styleId="Pieddepage">
    <w:name w:val="footer"/>
    <w:basedOn w:val="Normal"/>
    <w:link w:val="PieddepageCar"/>
    <w:uiPriority w:val="99"/>
    <w:unhideWhenUsed/>
    <w:rsid w:val="00B822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22D2"/>
  </w:style>
  <w:style w:type="paragraph" w:styleId="Sansinterligne">
    <w:name w:val="No Spacing"/>
    <w:link w:val="SansinterligneCar"/>
    <w:uiPriority w:val="1"/>
    <w:qFormat/>
    <w:rsid w:val="00E4742B"/>
    <w:pPr>
      <w:spacing w:after="0" w:line="240" w:lineRule="auto"/>
    </w:pPr>
    <w:rPr>
      <w:rFonts w:eastAsiaTheme="minorEastAsia"/>
      <w:kern w:val="0"/>
      <w:lang w:eastAsia="fr-CH"/>
      <w14:ligatures w14:val="none"/>
    </w:rPr>
  </w:style>
  <w:style w:type="character" w:customStyle="1" w:styleId="SansinterligneCar">
    <w:name w:val="Sans interligne Car"/>
    <w:basedOn w:val="Policepardfaut"/>
    <w:link w:val="Sansinterligne"/>
    <w:uiPriority w:val="1"/>
    <w:rsid w:val="00E4742B"/>
    <w:rPr>
      <w:rFonts w:eastAsiaTheme="minorEastAsia"/>
      <w:kern w:val="0"/>
      <w:lang w:eastAsia="fr-CH"/>
      <w14:ligatures w14:val="none"/>
    </w:rPr>
  </w:style>
  <w:style w:type="paragraph" w:customStyle="1" w:styleId="P">
    <w:name w:val="P"/>
    <w:basedOn w:val="Paragraphedeliste"/>
    <w:autoRedefine/>
    <w:qFormat/>
    <w:rsid w:val="00607855"/>
    <w:pPr>
      <w:numPr>
        <w:numId w:val="0"/>
      </w:numPr>
      <w:spacing w:line="276" w:lineRule="auto"/>
      <w:ind w:left="709"/>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46822">
      <w:bodyDiv w:val="1"/>
      <w:marLeft w:val="0"/>
      <w:marRight w:val="0"/>
      <w:marTop w:val="0"/>
      <w:marBottom w:val="0"/>
      <w:divBdr>
        <w:top w:val="none" w:sz="0" w:space="0" w:color="auto"/>
        <w:left w:val="none" w:sz="0" w:space="0" w:color="auto"/>
        <w:bottom w:val="none" w:sz="0" w:space="0" w:color="auto"/>
        <w:right w:val="none" w:sz="0" w:space="0" w:color="auto"/>
      </w:divBdr>
      <w:divsChild>
        <w:div w:id="531580226">
          <w:marLeft w:val="0"/>
          <w:marRight w:val="0"/>
          <w:marTop w:val="0"/>
          <w:marBottom w:val="0"/>
          <w:divBdr>
            <w:top w:val="none" w:sz="0" w:space="0" w:color="auto"/>
            <w:left w:val="none" w:sz="0" w:space="0" w:color="auto"/>
            <w:bottom w:val="none" w:sz="0" w:space="0" w:color="auto"/>
            <w:right w:val="none" w:sz="0" w:space="0" w:color="auto"/>
          </w:divBdr>
          <w:divsChild>
            <w:div w:id="1063217500">
              <w:marLeft w:val="0"/>
              <w:marRight w:val="0"/>
              <w:marTop w:val="0"/>
              <w:marBottom w:val="0"/>
              <w:divBdr>
                <w:top w:val="none" w:sz="0" w:space="0" w:color="auto"/>
                <w:left w:val="none" w:sz="0" w:space="0" w:color="auto"/>
                <w:bottom w:val="none" w:sz="0" w:space="0" w:color="auto"/>
                <w:right w:val="none" w:sz="0" w:space="0" w:color="auto"/>
              </w:divBdr>
            </w:div>
          </w:divsChild>
        </w:div>
        <w:div w:id="1224373608">
          <w:marLeft w:val="0"/>
          <w:marRight w:val="0"/>
          <w:marTop w:val="0"/>
          <w:marBottom w:val="0"/>
          <w:divBdr>
            <w:top w:val="none" w:sz="0" w:space="0" w:color="auto"/>
            <w:left w:val="none" w:sz="0" w:space="0" w:color="auto"/>
            <w:bottom w:val="none" w:sz="0" w:space="0" w:color="auto"/>
            <w:right w:val="none" w:sz="0" w:space="0" w:color="auto"/>
          </w:divBdr>
          <w:divsChild>
            <w:div w:id="1035540423">
              <w:marLeft w:val="0"/>
              <w:marRight w:val="0"/>
              <w:marTop w:val="0"/>
              <w:marBottom w:val="0"/>
              <w:divBdr>
                <w:top w:val="none" w:sz="0" w:space="0" w:color="auto"/>
                <w:left w:val="none" w:sz="0" w:space="0" w:color="auto"/>
                <w:bottom w:val="none" w:sz="0" w:space="0" w:color="auto"/>
                <w:right w:val="none" w:sz="0" w:space="0" w:color="auto"/>
              </w:divBdr>
            </w:div>
          </w:divsChild>
        </w:div>
        <w:div w:id="1317032078">
          <w:marLeft w:val="0"/>
          <w:marRight w:val="0"/>
          <w:marTop w:val="0"/>
          <w:marBottom w:val="0"/>
          <w:divBdr>
            <w:top w:val="none" w:sz="0" w:space="0" w:color="auto"/>
            <w:left w:val="none" w:sz="0" w:space="0" w:color="auto"/>
            <w:bottom w:val="none" w:sz="0" w:space="0" w:color="auto"/>
            <w:right w:val="none" w:sz="0" w:space="0" w:color="auto"/>
          </w:divBdr>
          <w:divsChild>
            <w:div w:id="1158808625">
              <w:marLeft w:val="0"/>
              <w:marRight w:val="0"/>
              <w:marTop w:val="0"/>
              <w:marBottom w:val="0"/>
              <w:divBdr>
                <w:top w:val="none" w:sz="0" w:space="0" w:color="auto"/>
                <w:left w:val="none" w:sz="0" w:space="0" w:color="auto"/>
                <w:bottom w:val="none" w:sz="0" w:space="0" w:color="auto"/>
                <w:right w:val="none" w:sz="0" w:space="0" w:color="auto"/>
              </w:divBdr>
            </w:div>
          </w:divsChild>
        </w:div>
        <w:div w:id="915431403">
          <w:marLeft w:val="0"/>
          <w:marRight w:val="0"/>
          <w:marTop w:val="0"/>
          <w:marBottom w:val="0"/>
          <w:divBdr>
            <w:top w:val="none" w:sz="0" w:space="0" w:color="auto"/>
            <w:left w:val="none" w:sz="0" w:space="0" w:color="auto"/>
            <w:bottom w:val="none" w:sz="0" w:space="0" w:color="auto"/>
            <w:right w:val="none" w:sz="0" w:space="0" w:color="auto"/>
          </w:divBdr>
          <w:divsChild>
            <w:div w:id="2143841075">
              <w:marLeft w:val="0"/>
              <w:marRight w:val="0"/>
              <w:marTop w:val="0"/>
              <w:marBottom w:val="0"/>
              <w:divBdr>
                <w:top w:val="none" w:sz="0" w:space="0" w:color="auto"/>
                <w:left w:val="none" w:sz="0" w:space="0" w:color="auto"/>
                <w:bottom w:val="none" w:sz="0" w:space="0" w:color="auto"/>
                <w:right w:val="none" w:sz="0" w:space="0" w:color="auto"/>
              </w:divBdr>
            </w:div>
          </w:divsChild>
        </w:div>
        <w:div w:id="951280218">
          <w:marLeft w:val="0"/>
          <w:marRight w:val="0"/>
          <w:marTop w:val="0"/>
          <w:marBottom w:val="0"/>
          <w:divBdr>
            <w:top w:val="none" w:sz="0" w:space="0" w:color="auto"/>
            <w:left w:val="none" w:sz="0" w:space="0" w:color="auto"/>
            <w:bottom w:val="none" w:sz="0" w:space="0" w:color="auto"/>
            <w:right w:val="none" w:sz="0" w:space="0" w:color="auto"/>
          </w:divBdr>
          <w:divsChild>
            <w:div w:id="850752668">
              <w:marLeft w:val="0"/>
              <w:marRight w:val="0"/>
              <w:marTop w:val="0"/>
              <w:marBottom w:val="0"/>
              <w:divBdr>
                <w:top w:val="none" w:sz="0" w:space="0" w:color="auto"/>
                <w:left w:val="none" w:sz="0" w:space="0" w:color="auto"/>
                <w:bottom w:val="none" w:sz="0" w:space="0" w:color="auto"/>
                <w:right w:val="none" w:sz="0" w:space="0" w:color="auto"/>
              </w:divBdr>
            </w:div>
          </w:divsChild>
        </w:div>
        <w:div w:id="1189030073">
          <w:marLeft w:val="0"/>
          <w:marRight w:val="0"/>
          <w:marTop w:val="0"/>
          <w:marBottom w:val="0"/>
          <w:divBdr>
            <w:top w:val="none" w:sz="0" w:space="0" w:color="auto"/>
            <w:left w:val="none" w:sz="0" w:space="0" w:color="auto"/>
            <w:bottom w:val="none" w:sz="0" w:space="0" w:color="auto"/>
            <w:right w:val="none" w:sz="0" w:space="0" w:color="auto"/>
          </w:divBdr>
          <w:divsChild>
            <w:div w:id="1043595940">
              <w:marLeft w:val="0"/>
              <w:marRight w:val="0"/>
              <w:marTop w:val="0"/>
              <w:marBottom w:val="0"/>
              <w:divBdr>
                <w:top w:val="none" w:sz="0" w:space="0" w:color="auto"/>
                <w:left w:val="none" w:sz="0" w:space="0" w:color="auto"/>
                <w:bottom w:val="none" w:sz="0" w:space="0" w:color="auto"/>
                <w:right w:val="none" w:sz="0" w:space="0" w:color="auto"/>
              </w:divBdr>
            </w:div>
          </w:divsChild>
        </w:div>
        <w:div w:id="1306736533">
          <w:marLeft w:val="0"/>
          <w:marRight w:val="0"/>
          <w:marTop w:val="0"/>
          <w:marBottom w:val="0"/>
          <w:divBdr>
            <w:top w:val="none" w:sz="0" w:space="0" w:color="auto"/>
            <w:left w:val="none" w:sz="0" w:space="0" w:color="auto"/>
            <w:bottom w:val="none" w:sz="0" w:space="0" w:color="auto"/>
            <w:right w:val="none" w:sz="0" w:space="0" w:color="auto"/>
          </w:divBdr>
          <w:divsChild>
            <w:div w:id="11037956">
              <w:marLeft w:val="0"/>
              <w:marRight w:val="0"/>
              <w:marTop w:val="0"/>
              <w:marBottom w:val="0"/>
              <w:divBdr>
                <w:top w:val="none" w:sz="0" w:space="0" w:color="auto"/>
                <w:left w:val="none" w:sz="0" w:space="0" w:color="auto"/>
                <w:bottom w:val="none" w:sz="0" w:space="0" w:color="auto"/>
                <w:right w:val="none" w:sz="0" w:space="0" w:color="auto"/>
              </w:divBdr>
            </w:div>
          </w:divsChild>
        </w:div>
        <w:div w:id="1091392975">
          <w:marLeft w:val="0"/>
          <w:marRight w:val="0"/>
          <w:marTop w:val="0"/>
          <w:marBottom w:val="0"/>
          <w:divBdr>
            <w:top w:val="none" w:sz="0" w:space="0" w:color="auto"/>
            <w:left w:val="none" w:sz="0" w:space="0" w:color="auto"/>
            <w:bottom w:val="none" w:sz="0" w:space="0" w:color="auto"/>
            <w:right w:val="none" w:sz="0" w:space="0" w:color="auto"/>
          </w:divBdr>
          <w:divsChild>
            <w:div w:id="1462310248">
              <w:marLeft w:val="0"/>
              <w:marRight w:val="0"/>
              <w:marTop w:val="0"/>
              <w:marBottom w:val="0"/>
              <w:divBdr>
                <w:top w:val="none" w:sz="0" w:space="0" w:color="auto"/>
                <w:left w:val="none" w:sz="0" w:space="0" w:color="auto"/>
                <w:bottom w:val="none" w:sz="0" w:space="0" w:color="auto"/>
                <w:right w:val="none" w:sz="0" w:space="0" w:color="auto"/>
              </w:divBdr>
            </w:div>
          </w:divsChild>
        </w:div>
        <w:div w:id="384569081">
          <w:marLeft w:val="0"/>
          <w:marRight w:val="0"/>
          <w:marTop w:val="0"/>
          <w:marBottom w:val="0"/>
          <w:divBdr>
            <w:top w:val="none" w:sz="0" w:space="0" w:color="auto"/>
            <w:left w:val="none" w:sz="0" w:space="0" w:color="auto"/>
            <w:bottom w:val="none" w:sz="0" w:space="0" w:color="auto"/>
            <w:right w:val="none" w:sz="0" w:space="0" w:color="auto"/>
          </w:divBdr>
          <w:divsChild>
            <w:div w:id="8398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24832">
      <w:bodyDiv w:val="1"/>
      <w:marLeft w:val="0"/>
      <w:marRight w:val="0"/>
      <w:marTop w:val="0"/>
      <w:marBottom w:val="0"/>
      <w:divBdr>
        <w:top w:val="none" w:sz="0" w:space="0" w:color="auto"/>
        <w:left w:val="none" w:sz="0" w:space="0" w:color="auto"/>
        <w:bottom w:val="none" w:sz="0" w:space="0" w:color="auto"/>
        <w:right w:val="none" w:sz="0" w:space="0" w:color="auto"/>
      </w:divBdr>
      <w:divsChild>
        <w:div w:id="1492942301">
          <w:marLeft w:val="0"/>
          <w:marRight w:val="0"/>
          <w:marTop w:val="0"/>
          <w:marBottom w:val="0"/>
          <w:divBdr>
            <w:top w:val="none" w:sz="0" w:space="0" w:color="auto"/>
            <w:left w:val="none" w:sz="0" w:space="0" w:color="auto"/>
            <w:bottom w:val="none" w:sz="0" w:space="0" w:color="auto"/>
            <w:right w:val="none" w:sz="0" w:space="0" w:color="auto"/>
          </w:divBdr>
          <w:divsChild>
            <w:div w:id="1539271593">
              <w:marLeft w:val="0"/>
              <w:marRight w:val="0"/>
              <w:marTop w:val="0"/>
              <w:marBottom w:val="0"/>
              <w:divBdr>
                <w:top w:val="none" w:sz="0" w:space="0" w:color="auto"/>
                <w:left w:val="none" w:sz="0" w:space="0" w:color="auto"/>
                <w:bottom w:val="none" w:sz="0" w:space="0" w:color="auto"/>
                <w:right w:val="none" w:sz="0" w:space="0" w:color="auto"/>
              </w:divBdr>
              <w:divsChild>
                <w:div w:id="1498184960">
                  <w:marLeft w:val="0"/>
                  <w:marRight w:val="0"/>
                  <w:marTop w:val="0"/>
                  <w:marBottom w:val="0"/>
                  <w:divBdr>
                    <w:top w:val="none" w:sz="0" w:space="0" w:color="auto"/>
                    <w:left w:val="none" w:sz="0" w:space="0" w:color="auto"/>
                    <w:bottom w:val="none" w:sz="0" w:space="0" w:color="auto"/>
                    <w:right w:val="none" w:sz="0" w:space="0" w:color="auto"/>
                  </w:divBdr>
                  <w:divsChild>
                    <w:div w:id="1927181663">
                      <w:marLeft w:val="0"/>
                      <w:marRight w:val="0"/>
                      <w:marTop w:val="0"/>
                      <w:marBottom w:val="0"/>
                      <w:divBdr>
                        <w:top w:val="none" w:sz="0" w:space="0" w:color="auto"/>
                        <w:left w:val="none" w:sz="0" w:space="0" w:color="auto"/>
                        <w:bottom w:val="none" w:sz="0" w:space="0" w:color="auto"/>
                        <w:right w:val="none" w:sz="0" w:space="0" w:color="auto"/>
                      </w:divBdr>
                    </w:div>
                  </w:divsChild>
                </w:div>
                <w:div w:id="308098032">
                  <w:marLeft w:val="0"/>
                  <w:marRight w:val="0"/>
                  <w:marTop w:val="0"/>
                  <w:marBottom w:val="0"/>
                  <w:divBdr>
                    <w:top w:val="none" w:sz="0" w:space="0" w:color="auto"/>
                    <w:left w:val="none" w:sz="0" w:space="0" w:color="auto"/>
                    <w:bottom w:val="none" w:sz="0" w:space="0" w:color="auto"/>
                    <w:right w:val="none" w:sz="0" w:space="0" w:color="auto"/>
                  </w:divBdr>
                  <w:divsChild>
                    <w:div w:id="537477352">
                      <w:marLeft w:val="0"/>
                      <w:marRight w:val="0"/>
                      <w:marTop w:val="0"/>
                      <w:marBottom w:val="0"/>
                      <w:divBdr>
                        <w:top w:val="none" w:sz="0" w:space="0" w:color="auto"/>
                        <w:left w:val="none" w:sz="0" w:space="0" w:color="auto"/>
                        <w:bottom w:val="none" w:sz="0" w:space="0" w:color="auto"/>
                        <w:right w:val="none" w:sz="0" w:space="0" w:color="auto"/>
                      </w:divBdr>
                    </w:div>
                  </w:divsChild>
                </w:div>
                <w:div w:id="1394157373">
                  <w:marLeft w:val="0"/>
                  <w:marRight w:val="0"/>
                  <w:marTop w:val="0"/>
                  <w:marBottom w:val="0"/>
                  <w:divBdr>
                    <w:top w:val="none" w:sz="0" w:space="0" w:color="auto"/>
                    <w:left w:val="none" w:sz="0" w:space="0" w:color="auto"/>
                    <w:bottom w:val="none" w:sz="0" w:space="0" w:color="auto"/>
                    <w:right w:val="none" w:sz="0" w:space="0" w:color="auto"/>
                  </w:divBdr>
                  <w:divsChild>
                    <w:div w:id="660962345">
                      <w:marLeft w:val="0"/>
                      <w:marRight w:val="0"/>
                      <w:marTop w:val="0"/>
                      <w:marBottom w:val="0"/>
                      <w:divBdr>
                        <w:top w:val="none" w:sz="0" w:space="0" w:color="auto"/>
                        <w:left w:val="none" w:sz="0" w:space="0" w:color="auto"/>
                        <w:bottom w:val="none" w:sz="0" w:space="0" w:color="auto"/>
                        <w:right w:val="none" w:sz="0" w:space="0" w:color="auto"/>
                      </w:divBdr>
                    </w:div>
                  </w:divsChild>
                </w:div>
                <w:div w:id="2010523109">
                  <w:marLeft w:val="0"/>
                  <w:marRight w:val="0"/>
                  <w:marTop w:val="0"/>
                  <w:marBottom w:val="0"/>
                  <w:divBdr>
                    <w:top w:val="none" w:sz="0" w:space="0" w:color="auto"/>
                    <w:left w:val="none" w:sz="0" w:space="0" w:color="auto"/>
                    <w:bottom w:val="none" w:sz="0" w:space="0" w:color="auto"/>
                    <w:right w:val="none" w:sz="0" w:space="0" w:color="auto"/>
                  </w:divBdr>
                  <w:divsChild>
                    <w:div w:id="499855266">
                      <w:marLeft w:val="0"/>
                      <w:marRight w:val="0"/>
                      <w:marTop w:val="0"/>
                      <w:marBottom w:val="0"/>
                      <w:divBdr>
                        <w:top w:val="none" w:sz="0" w:space="0" w:color="auto"/>
                        <w:left w:val="none" w:sz="0" w:space="0" w:color="auto"/>
                        <w:bottom w:val="none" w:sz="0" w:space="0" w:color="auto"/>
                        <w:right w:val="none" w:sz="0" w:space="0" w:color="auto"/>
                      </w:divBdr>
                    </w:div>
                  </w:divsChild>
                </w:div>
                <w:div w:id="330526999">
                  <w:marLeft w:val="0"/>
                  <w:marRight w:val="0"/>
                  <w:marTop w:val="0"/>
                  <w:marBottom w:val="0"/>
                  <w:divBdr>
                    <w:top w:val="none" w:sz="0" w:space="0" w:color="auto"/>
                    <w:left w:val="none" w:sz="0" w:space="0" w:color="auto"/>
                    <w:bottom w:val="none" w:sz="0" w:space="0" w:color="auto"/>
                    <w:right w:val="none" w:sz="0" w:space="0" w:color="auto"/>
                  </w:divBdr>
                  <w:divsChild>
                    <w:div w:id="1440493331">
                      <w:marLeft w:val="0"/>
                      <w:marRight w:val="0"/>
                      <w:marTop w:val="0"/>
                      <w:marBottom w:val="0"/>
                      <w:divBdr>
                        <w:top w:val="none" w:sz="0" w:space="0" w:color="auto"/>
                        <w:left w:val="none" w:sz="0" w:space="0" w:color="auto"/>
                        <w:bottom w:val="none" w:sz="0" w:space="0" w:color="auto"/>
                        <w:right w:val="none" w:sz="0" w:space="0" w:color="auto"/>
                      </w:divBdr>
                    </w:div>
                  </w:divsChild>
                </w:div>
                <w:div w:id="2130316015">
                  <w:marLeft w:val="0"/>
                  <w:marRight w:val="0"/>
                  <w:marTop w:val="0"/>
                  <w:marBottom w:val="0"/>
                  <w:divBdr>
                    <w:top w:val="none" w:sz="0" w:space="0" w:color="auto"/>
                    <w:left w:val="none" w:sz="0" w:space="0" w:color="auto"/>
                    <w:bottom w:val="none" w:sz="0" w:space="0" w:color="auto"/>
                    <w:right w:val="none" w:sz="0" w:space="0" w:color="auto"/>
                  </w:divBdr>
                  <w:divsChild>
                    <w:div w:id="403378200">
                      <w:marLeft w:val="0"/>
                      <w:marRight w:val="0"/>
                      <w:marTop w:val="0"/>
                      <w:marBottom w:val="0"/>
                      <w:divBdr>
                        <w:top w:val="none" w:sz="0" w:space="0" w:color="auto"/>
                        <w:left w:val="none" w:sz="0" w:space="0" w:color="auto"/>
                        <w:bottom w:val="none" w:sz="0" w:space="0" w:color="auto"/>
                        <w:right w:val="none" w:sz="0" w:space="0" w:color="auto"/>
                      </w:divBdr>
                    </w:div>
                  </w:divsChild>
                </w:div>
                <w:div w:id="649211675">
                  <w:marLeft w:val="0"/>
                  <w:marRight w:val="0"/>
                  <w:marTop w:val="0"/>
                  <w:marBottom w:val="0"/>
                  <w:divBdr>
                    <w:top w:val="none" w:sz="0" w:space="0" w:color="auto"/>
                    <w:left w:val="none" w:sz="0" w:space="0" w:color="auto"/>
                    <w:bottom w:val="none" w:sz="0" w:space="0" w:color="auto"/>
                    <w:right w:val="none" w:sz="0" w:space="0" w:color="auto"/>
                  </w:divBdr>
                  <w:divsChild>
                    <w:div w:id="1273051304">
                      <w:marLeft w:val="0"/>
                      <w:marRight w:val="0"/>
                      <w:marTop w:val="0"/>
                      <w:marBottom w:val="0"/>
                      <w:divBdr>
                        <w:top w:val="none" w:sz="0" w:space="0" w:color="auto"/>
                        <w:left w:val="none" w:sz="0" w:space="0" w:color="auto"/>
                        <w:bottom w:val="none" w:sz="0" w:space="0" w:color="auto"/>
                        <w:right w:val="none" w:sz="0" w:space="0" w:color="auto"/>
                      </w:divBdr>
                    </w:div>
                  </w:divsChild>
                </w:div>
                <w:div w:id="2130969107">
                  <w:marLeft w:val="0"/>
                  <w:marRight w:val="0"/>
                  <w:marTop w:val="0"/>
                  <w:marBottom w:val="0"/>
                  <w:divBdr>
                    <w:top w:val="none" w:sz="0" w:space="0" w:color="auto"/>
                    <w:left w:val="none" w:sz="0" w:space="0" w:color="auto"/>
                    <w:bottom w:val="none" w:sz="0" w:space="0" w:color="auto"/>
                    <w:right w:val="none" w:sz="0" w:space="0" w:color="auto"/>
                  </w:divBdr>
                  <w:divsChild>
                    <w:div w:id="1224222456">
                      <w:marLeft w:val="0"/>
                      <w:marRight w:val="0"/>
                      <w:marTop w:val="0"/>
                      <w:marBottom w:val="0"/>
                      <w:divBdr>
                        <w:top w:val="none" w:sz="0" w:space="0" w:color="auto"/>
                        <w:left w:val="none" w:sz="0" w:space="0" w:color="auto"/>
                        <w:bottom w:val="none" w:sz="0" w:space="0" w:color="auto"/>
                        <w:right w:val="none" w:sz="0" w:space="0" w:color="auto"/>
                      </w:divBdr>
                    </w:div>
                  </w:divsChild>
                </w:div>
                <w:div w:id="1922137951">
                  <w:marLeft w:val="0"/>
                  <w:marRight w:val="0"/>
                  <w:marTop w:val="0"/>
                  <w:marBottom w:val="0"/>
                  <w:divBdr>
                    <w:top w:val="none" w:sz="0" w:space="0" w:color="auto"/>
                    <w:left w:val="none" w:sz="0" w:space="0" w:color="auto"/>
                    <w:bottom w:val="none" w:sz="0" w:space="0" w:color="auto"/>
                    <w:right w:val="none" w:sz="0" w:space="0" w:color="auto"/>
                  </w:divBdr>
                  <w:divsChild>
                    <w:div w:id="459421873">
                      <w:marLeft w:val="0"/>
                      <w:marRight w:val="0"/>
                      <w:marTop w:val="0"/>
                      <w:marBottom w:val="0"/>
                      <w:divBdr>
                        <w:top w:val="none" w:sz="0" w:space="0" w:color="auto"/>
                        <w:left w:val="none" w:sz="0" w:space="0" w:color="auto"/>
                        <w:bottom w:val="none" w:sz="0" w:space="0" w:color="auto"/>
                        <w:right w:val="none" w:sz="0" w:space="0" w:color="auto"/>
                      </w:divBdr>
                    </w:div>
                  </w:divsChild>
                </w:div>
                <w:div w:id="627052109">
                  <w:marLeft w:val="0"/>
                  <w:marRight w:val="0"/>
                  <w:marTop w:val="0"/>
                  <w:marBottom w:val="0"/>
                  <w:divBdr>
                    <w:top w:val="none" w:sz="0" w:space="0" w:color="auto"/>
                    <w:left w:val="none" w:sz="0" w:space="0" w:color="auto"/>
                    <w:bottom w:val="none" w:sz="0" w:space="0" w:color="auto"/>
                    <w:right w:val="none" w:sz="0" w:space="0" w:color="auto"/>
                  </w:divBdr>
                  <w:divsChild>
                    <w:div w:id="144130510">
                      <w:marLeft w:val="0"/>
                      <w:marRight w:val="0"/>
                      <w:marTop w:val="0"/>
                      <w:marBottom w:val="0"/>
                      <w:divBdr>
                        <w:top w:val="none" w:sz="0" w:space="0" w:color="auto"/>
                        <w:left w:val="none" w:sz="0" w:space="0" w:color="auto"/>
                        <w:bottom w:val="none" w:sz="0" w:space="0" w:color="auto"/>
                        <w:right w:val="none" w:sz="0" w:space="0" w:color="auto"/>
                      </w:divBdr>
                    </w:div>
                  </w:divsChild>
                </w:div>
                <w:div w:id="1769961317">
                  <w:marLeft w:val="0"/>
                  <w:marRight w:val="0"/>
                  <w:marTop w:val="0"/>
                  <w:marBottom w:val="0"/>
                  <w:divBdr>
                    <w:top w:val="none" w:sz="0" w:space="0" w:color="auto"/>
                    <w:left w:val="none" w:sz="0" w:space="0" w:color="auto"/>
                    <w:bottom w:val="none" w:sz="0" w:space="0" w:color="auto"/>
                    <w:right w:val="none" w:sz="0" w:space="0" w:color="auto"/>
                  </w:divBdr>
                  <w:divsChild>
                    <w:div w:id="379285605">
                      <w:marLeft w:val="0"/>
                      <w:marRight w:val="0"/>
                      <w:marTop w:val="0"/>
                      <w:marBottom w:val="0"/>
                      <w:divBdr>
                        <w:top w:val="none" w:sz="0" w:space="0" w:color="auto"/>
                        <w:left w:val="none" w:sz="0" w:space="0" w:color="auto"/>
                        <w:bottom w:val="none" w:sz="0" w:space="0" w:color="auto"/>
                        <w:right w:val="none" w:sz="0" w:space="0" w:color="auto"/>
                      </w:divBdr>
                    </w:div>
                  </w:divsChild>
                </w:div>
                <w:div w:id="437137239">
                  <w:marLeft w:val="0"/>
                  <w:marRight w:val="0"/>
                  <w:marTop w:val="0"/>
                  <w:marBottom w:val="0"/>
                  <w:divBdr>
                    <w:top w:val="none" w:sz="0" w:space="0" w:color="auto"/>
                    <w:left w:val="none" w:sz="0" w:space="0" w:color="auto"/>
                    <w:bottom w:val="none" w:sz="0" w:space="0" w:color="auto"/>
                    <w:right w:val="none" w:sz="0" w:space="0" w:color="auto"/>
                  </w:divBdr>
                  <w:divsChild>
                    <w:div w:id="1822503446">
                      <w:marLeft w:val="0"/>
                      <w:marRight w:val="0"/>
                      <w:marTop w:val="0"/>
                      <w:marBottom w:val="0"/>
                      <w:divBdr>
                        <w:top w:val="none" w:sz="0" w:space="0" w:color="auto"/>
                        <w:left w:val="none" w:sz="0" w:space="0" w:color="auto"/>
                        <w:bottom w:val="none" w:sz="0" w:space="0" w:color="auto"/>
                        <w:right w:val="none" w:sz="0" w:space="0" w:color="auto"/>
                      </w:divBdr>
                    </w:div>
                  </w:divsChild>
                </w:div>
                <w:div w:id="129373310">
                  <w:marLeft w:val="0"/>
                  <w:marRight w:val="0"/>
                  <w:marTop w:val="0"/>
                  <w:marBottom w:val="0"/>
                  <w:divBdr>
                    <w:top w:val="none" w:sz="0" w:space="0" w:color="auto"/>
                    <w:left w:val="none" w:sz="0" w:space="0" w:color="auto"/>
                    <w:bottom w:val="none" w:sz="0" w:space="0" w:color="auto"/>
                    <w:right w:val="none" w:sz="0" w:space="0" w:color="auto"/>
                  </w:divBdr>
                  <w:divsChild>
                    <w:div w:id="1128931230">
                      <w:marLeft w:val="0"/>
                      <w:marRight w:val="0"/>
                      <w:marTop w:val="0"/>
                      <w:marBottom w:val="0"/>
                      <w:divBdr>
                        <w:top w:val="none" w:sz="0" w:space="0" w:color="auto"/>
                        <w:left w:val="none" w:sz="0" w:space="0" w:color="auto"/>
                        <w:bottom w:val="none" w:sz="0" w:space="0" w:color="auto"/>
                        <w:right w:val="none" w:sz="0" w:space="0" w:color="auto"/>
                      </w:divBdr>
                    </w:div>
                  </w:divsChild>
                </w:div>
                <w:div w:id="1991253646">
                  <w:marLeft w:val="0"/>
                  <w:marRight w:val="0"/>
                  <w:marTop w:val="0"/>
                  <w:marBottom w:val="0"/>
                  <w:divBdr>
                    <w:top w:val="none" w:sz="0" w:space="0" w:color="auto"/>
                    <w:left w:val="none" w:sz="0" w:space="0" w:color="auto"/>
                    <w:bottom w:val="none" w:sz="0" w:space="0" w:color="auto"/>
                    <w:right w:val="none" w:sz="0" w:space="0" w:color="auto"/>
                  </w:divBdr>
                  <w:divsChild>
                    <w:div w:id="1696805110">
                      <w:marLeft w:val="0"/>
                      <w:marRight w:val="0"/>
                      <w:marTop w:val="0"/>
                      <w:marBottom w:val="0"/>
                      <w:divBdr>
                        <w:top w:val="none" w:sz="0" w:space="0" w:color="auto"/>
                        <w:left w:val="none" w:sz="0" w:space="0" w:color="auto"/>
                        <w:bottom w:val="none" w:sz="0" w:space="0" w:color="auto"/>
                        <w:right w:val="none" w:sz="0" w:space="0" w:color="auto"/>
                      </w:divBdr>
                    </w:div>
                  </w:divsChild>
                </w:div>
                <w:div w:id="1644966610">
                  <w:marLeft w:val="0"/>
                  <w:marRight w:val="0"/>
                  <w:marTop w:val="0"/>
                  <w:marBottom w:val="0"/>
                  <w:divBdr>
                    <w:top w:val="none" w:sz="0" w:space="0" w:color="auto"/>
                    <w:left w:val="none" w:sz="0" w:space="0" w:color="auto"/>
                    <w:bottom w:val="none" w:sz="0" w:space="0" w:color="auto"/>
                    <w:right w:val="none" w:sz="0" w:space="0" w:color="auto"/>
                  </w:divBdr>
                  <w:divsChild>
                    <w:div w:id="1444567419">
                      <w:marLeft w:val="0"/>
                      <w:marRight w:val="0"/>
                      <w:marTop w:val="0"/>
                      <w:marBottom w:val="0"/>
                      <w:divBdr>
                        <w:top w:val="none" w:sz="0" w:space="0" w:color="auto"/>
                        <w:left w:val="none" w:sz="0" w:space="0" w:color="auto"/>
                        <w:bottom w:val="none" w:sz="0" w:space="0" w:color="auto"/>
                        <w:right w:val="none" w:sz="0" w:space="0" w:color="auto"/>
                      </w:divBdr>
                    </w:div>
                  </w:divsChild>
                </w:div>
                <w:div w:id="2033874985">
                  <w:marLeft w:val="0"/>
                  <w:marRight w:val="0"/>
                  <w:marTop w:val="0"/>
                  <w:marBottom w:val="0"/>
                  <w:divBdr>
                    <w:top w:val="none" w:sz="0" w:space="0" w:color="auto"/>
                    <w:left w:val="none" w:sz="0" w:space="0" w:color="auto"/>
                    <w:bottom w:val="none" w:sz="0" w:space="0" w:color="auto"/>
                    <w:right w:val="none" w:sz="0" w:space="0" w:color="auto"/>
                  </w:divBdr>
                  <w:divsChild>
                    <w:div w:id="2092390529">
                      <w:marLeft w:val="0"/>
                      <w:marRight w:val="0"/>
                      <w:marTop w:val="0"/>
                      <w:marBottom w:val="0"/>
                      <w:divBdr>
                        <w:top w:val="none" w:sz="0" w:space="0" w:color="auto"/>
                        <w:left w:val="none" w:sz="0" w:space="0" w:color="auto"/>
                        <w:bottom w:val="none" w:sz="0" w:space="0" w:color="auto"/>
                        <w:right w:val="none" w:sz="0" w:space="0" w:color="auto"/>
                      </w:divBdr>
                    </w:div>
                  </w:divsChild>
                </w:div>
                <w:div w:id="1144197434">
                  <w:marLeft w:val="0"/>
                  <w:marRight w:val="0"/>
                  <w:marTop w:val="0"/>
                  <w:marBottom w:val="0"/>
                  <w:divBdr>
                    <w:top w:val="none" w:sz="0" w:space="0" w:color="auto"/>
                    <w:left w:val="none" w:sz="0" w:space="0" w:color="auto"/>
                    <w:bottom w:val="none" w:sz="0" w:space="0" w:color="auto"/>
                    <w:right w:val="none" w:sz="0" w:space="0" w:color="auto"/>
                  </w:divBdr>
                  <w:divsChild>
                    <w:div w:id="67920017">
                      <w:marLeft w:val="0"/>
                      <w:marRight w:val="0"/>
                      <w:marTop w:val="0"/>
                      <w:marBottom w:val="0"/>
                      <w:divBdr>
                        <w:top w:val="none" w:sz="0" w:space="0" w:color="auto"/>
                        <w:left w:val="none" w:sz="0" w:space="0" w:color="auto"/>
                        <w:bottom w:val="none" w:sz="0" w:space="0" w:color="auto"/>
                        <w:right w:val="none" w:sz="0" w:space="0" w:color="auto"/>
                      </w:divBdr>
                    </w:div>
                  </w:divsChild>
                </w:div>
                <w:div w:id="1667438448">
                  <w:marLeft w:val="0"/>
                  <w:marRight w:val="0"/>
                  <w:marTop w:val="0"/>
                  <w:marBottom w:val="0"/>
                  <w:divBdr>
                    <w:top w:val="none" w:sz="0" w:space="0" w:color="auto"/>
                    <w:left w:val="none" w:sz="0" w:space="0" w:color="auto"/>
                    <w:bottom w:val="none" w:sz="0" w:space="0" w:color="auto"/>
                    <w:right w:val="none" w:sz="0" w:space="0" w:color="auto"/>
                  </w:divBdr>
                  <w:divsChild>
                    <w:div w:id="516115237">
                      <w:marLeft w:val="0"/>
                      <w:marRight w:val="0"/>
                      <w:marTop w:val="0"/>
                      <w:marBottom w:val="0"/>
                      <w:divBdr>
                        <w:top w:val="none" w:sz="0" w:space="0" w:color="auto"/>
                        <w:left w:val="none" w:sz="0" w:space="0" w:color="auto"/>
                        <w:bottom w:val="none" w:sz="0" w:space="0" w:color="auto"/>
                        <w:right w:val="none" w:sz="0" w:space="0" w:color="auto"/>
                      </w:divBdr>
                    </w:div>
                  </w:divsChild>
                </w:div>
                <w:div w:id="153452191">
                  <w:marLeft w:val="0"/>
                  <w:marRight w:val="0"/>
                  <w:marTop w:val="0"/>
                  <w:marBottom w:val="0"/>
                  <w:divBdr>
                    <w:top w:val="none" w:sz="0" w:space="0" w:color="auto"/>
                    <w:left w:val="none" w:sz="0" w:space="0" w:color="auto"/>
                    <w:bottom w:val="none" w:sz="0" w:space="0" w:color="auto"/>
                    <w:right w:val="none" w:sz="0" w:space="0" w:color="auto"/>
                  </w:divBdr>
                  <w:divsChild>
                    <w:div w:id="202596576">
                      <w:marLeft w:val="0"/>
                      <w:marRight w:val="0"/>
                      <w:marTop w:val="0"/>
                      <w:marBottom w:val="0"/>
                      <w:divBdr>
                        <w:top w:val="none" w:sz="0" w:space="0" w:color="auto"/>
                        <w:left w:val="none" w:sz="0" w:space="0" w:color="auto"/>
                        <w:bottom w:val="none" w:sz="0" w:space="0" w:color="auto"/>
                        <w:right w:val="none" w:sz="0" w:space="0" w:color="auto"/>
                      </w:divBdr>
                    </w:div>
                  </w:divsChild>
                </w:div>
                <w:div w:id="1967664879">
                  <w:marLeft w:val="0"/>
                  <w:marRight w:val="0"/>
                  <w:marTop w:val="0"/>
                  <w:marBottom w:val="0"/>
                  <w:divBdr>
                    <w:top w:val="none" w:sz="0" w:space="0" w:color="auto"/>
                    <w:left w:val="none" w:sz="0" w:space="0" w:color="auto"/>
                    <w:bottom w:val="none" w:sz="0" w:space="0" w:color="auto"/>
                    <w:right w:val="none" w:sz="0" w:space="0" w:color="auto"/>
                  </w:divBdr>
                  <w:divsChild>
                    <w:div w:id="558902982">
                      <w:marLeft w:val="0"/>
                      <w:marRight w:val="0"/>
                      <w:marTop w:val="0"/>
                      <w:marBottom w:val="0"/>
                      <w:divBdr>
                        <w:top w:val="none" w:sz="0" w:space="0" w:color="auto"/>
                        <w:left w:val="none" w:sz="0" w:space="0" w:color="auto"/>
                        <w:bottom w:val="none" w:sz="0" w:space="0" w:color="auto"/>
                        <w:right w:val="none" w:sz="0" w:space="0" w:color="auto"/>
                      </w:divBdr>
                    </w:div>
                  </w:divsChild>
                </w:div>
                <w:div w:id="1047027934">
                  <w:marLeft w:val="0"/>
                  <w:marRight w:val="0"/>
                  <w:marTop w:val="0"/>
                  <w:marBottom w:val="0"/>
                  <w:divBdr>
                    <w:top w:val="none" w:sz="0" w:space="0" w:color="auto"/>
                    <w:left w:val="none" w:sz="0" w:space="0" w:color="auto"/>
                    <w:bottom w:val="none" w:sz="0" w:space="0" w:color="auto"/>
                    <w:right w:val="none" w:sz="0" w:space="0" w:color="auto"/>
                  </w:divBdr>
                  <w:divsChild>
                    <w:div w:id="1996449117">
                      <w:marLeft w:val="0"/>
                      <w:marRight w:val="0"/>
                      <w:marTop w:val="0"/>
                      <w:marBottom w:val="0"/>
                      <w:divBdr>
                        <w:top w:val="none" w:sz="0" w:space="0" w:color="auto"/>
                        <w:left w:val="none" w:sz="0" w:space="0" w:color="auto"/>
                        <w:bottom w:val="none" w:sz="0" w:space="0" w:color="auto"/>
                        <w:right w:val="none" w:sz="0" w:space="0" w:color="auto"/>
                      </w:divBdr>
                    </w:div>
                  </w:divsChild>
                </w:div>
                <w:div w:id="506097699">
                  <w:marLeft w:val="0"/>
                  <w:marRight w:val="0"/>
                  <w:marTop w:val="0"/>
                  <w:marBottom w:val="0"/>
                  <w:divBdr>
                    <w:top w:val="none" w:sz="0" w:space="0" w:color="auto"/>
                    <w:left w:val="none" w:sz="0" w:space="0" w:color="auto"/>
                    <w:bottom w:val="none" w:sz="0" w:space="0" w:color="auto"/>
                    <w:right w:val="none" w:sz="0" w:space="0" w:color="auto"/>
                  </w:divBdr>
                  <w:divsChild>
                    <w:div w:id="120926048">
                      <w:marLeft w:val="0"/>
                      <w:marRight w:val="0"/>
                      <w:marTop w:val="0"/>
                      <w:marBottom w:val="0"/>
                      <w:divBdr>
                        <w:top w:val="none" w:sz="0" w:space="0" w:color="auto"/>
                        <w:left w:val="none" w:sz="0" w:space="0" w:color="auto"/>
                        <w:bottom w:val="none" w:sz="0" w:space="0" w:color="auto"/>
                        <w:right w:val="none" w:sz="0" w:space="0" w:color="auto"/>
                      </w:divBdr>
                    </w:div>
                  </w:divsChild>
                </w:div>
                <w:div w:id="388384997">
                  <w:marLeft w:val="0"/>
                  <w:marRight w:val="0"/>
                  <w:marTop w:val="0"/>
                  <w:marBottom w:val="0"/>
                  <w:divBdr>
                    <w:top w:val="none" w:sz="0" w:space="0" w:color="auto"/>
                    <w:left w:val="none" w:sz="0" w:space="0" w:color="auto"/>
                    <w:bottom w:val="none" w:sz="0" w:space="0" w:color="auto"/>
                    <w:right w:val="none" w:sz="0" w:space="0" w:color="auto"/>
                  </w:divBdr>
                  <w:divsChild>
                    <w:div w:id="465390361">
                      <w:marLeft w:val="0"/>
                      <w:marRight w:val="0"/>
                      <w:marTop w:val="0"/>
                      <w:marBottom w:val="0"/>
                      <w:divBdr>
                        <w:top w:val="none" w:sz="0" w:space="0" w:color="auto"/>
                        <w:left w:val="none" w:sz="0" w:space="0" w:color="auto"/>
                        <w:bottom w:val="none" w:sz="0" w:space="0" w:color="auto"/>
                        <w:right w:val="none" w:sz="0" w:space="0" w:color="auto"/>
                      </w:divBdr>
                    </w:div>
                  </w:divsChild>
                </w:div>
                <w:div w:id="810635754">
                  <w:marLeft w:val="0"/>
                  <w:marRight w:val="0"/>
                  <w:marTop w:val="0"/>
                  <w:marBottom w:val="0"/>
                  <w:divBdr>
                    <w:top w:val="none" w:sz="0" w:space="0" w:color="auto"/>
                    <w:left w:val="none" w:sz="0" w:space="0" w:color="auto"/>
                    <w:bottom w:val="none" w:sz="0" w:space="0" w:color="auto"/>
                    <w:right w:val="none" w:sz="0" w:space="0" w:color="auto"/>
                  </w:divBdr>
                  <w:divsChild>
                    <w:div w:id="931477686">
                      <w:marLeft w:val="0"/>
                      <w:marRight w:val="0"/>
                      <w:marTop w:val="0"/>
                      <w:marBottom w:val="0"/>
                      <w:divBdr>
                        <w:top w:val="none" w:sz="0" w:space="0" w:color="auto"/>
                        <w:left w:val="none" w:sz="0" w:space="0" w:color="auto"/>
                        <w:bottom w:val="none" w:sz="0" w:space="0" w:color="auto"/>
                        <w:right w:val="none" w:sz="0" w:space="0" w:color="auto"/>
                      </w:divBdr>
                    </w:div>
                  </w:divsChild>
                </w:div>
                <w:div w:id="1630939161">
                  <w:marLeft w:val="0"/>
                  <w:marRight w:val="0"/>
                  <w:marTop w:val="0"/>
                  <w:marBottom w:val="0"/>
                  <w:divBdr>
                    <w:top w:val="none" w:sz="0" w:space="0" w:color="auto"/>
                    <w:left w:val="none" w:sz="0" w:space="0" w:color="auto"/>
                    <w:bottom w:val="none" w:sz="0" w:space="0" w:color="auto"/>
                    <w:right w:val="none" w:sz="0" w:space="0" w:color="auto"/>
                  </w:divBdr>
                  <w:divsChild>
                    <w:div w:id="469830923">
                      <w:marLeft w:val="0"/>
                      <w:marRight w:val="0"/>
                      <w:marTop w:val="0"/>
                      <w:marBottom w:val="0"/>
                      <w:divBdr>
                        <w:top w:val="none" w:sz="0" w:space="0" w:color="auto"/>
                        <w:left w:val="none" w:sz="0" w:space="0" w:color="auto"/>
                        <w:bottom w:val="none" w:sz="0" w:space="0" w:color="auto"/>
                        <w:right w:val="none" w:sz="0" w:space="0" w:color="auto"/>
                      </w:divBdr>
                    </w:div>
                  </w:divsChild>
                </w:div>
                <w:div w:id="604465275">
                  <w:marLeft w:val="0"/>
                  <w:marRight w:val="0"/>
                  <w:marTop w:val="0"/>
                  <w:marBottom w:val="0"/>
                  <w:divBdr>
                    <w:top w:val="none" w:sz="0" w:space="0" w:color="auto"/>
                    <w:left w:val="none" w:sz="0" w:space="0" w:color="auto"/>
                    <w:bottom w:val="none" w:sz="0" w:space="0" w:color="auto"/>
                    <w:right w:val="none" w:sz="0" w:space="0" w:color="auto"/>
                  </w:divBdr>
                  <w:divsChild>
                    <w:div w:id="1144467630">
                      <w:marLeft w:val="0"/>
                      <w:marRight w:val="0"/>
                      <w:marTop w:val="0"/>
                      <w:marBottom w:val="0"/>
                      <w:divBdr>
                        <w:top w:val="none" w:sz="0" w:space="0" w:color="auto"/>
                        <w:left w:val="none" w:sz="0" w:space="0" w:color="auto"/>
                        <w:bottom w:val="none" w:sz="0" w:space="0" w:color="auto"/>
                        <w:right w:val="none" w:sz="0" w:space="0" w:color="auto"/>
                      </w:divBdr>
                    </w:div>
                  </w:divsChild>
                </w:div>
                <w:div w:id="1549340915">
                  <w:marLeft w:val="0"/>
                  <w:marRight w:val="0"/>
                  <w:marTop w:val="0"/>
                  <w:marBottom w:val="0"/>
                  <w:divBdr>
                    <w:top w:val="none" w:sz="0" w:space="0" w:color="auto"/>
                    <w:left w:val="none" w:sz="0" w:space="0" w:color="auto"/>
                    <w:bottom w:val="none" w:sz="0" w:space="0" w:color="auto"/>
                    <w:right w:val="none" w:sz="0" w:space="0" w:color="auto"/>
                  </w:divBdr>
                  <w:divsChild>
                    <w:div w:id="604271283">
                      <w:marLeft w:val="0"/>
                      <w:marRight w:val="0"/>
                      <w:marTop w:val="0"/>
                      <w:marBottom w:val="0"/>
                      <w:divBdr>
                        <w:top w:val="none" w:sz="0" w:space="0" w:color="auto"/>
                        <w:left w:val="none" w:sz="0" w:space="0" w:color="auto"/>
                        <w:bottom w:val="none" w:sz="0" w:space="0" w:color="auto"/>
                        <w:right w:val="none" w:sz="0" w:space="0" w:color="auto"/>
                      </w:divBdr>
                    </w:div>
                  </w:divsChild>
                </w:div>
                <w:div w:id="1795253848">
                  <w:marLeft w:val="0"/>
                  <w:marRight w:val="0"/>
                  <w:marTop w:val="0"/>
                  <w:marBottom w:val="0"/>
                  <w:divBdr>
                    <w:top w:val="none" w:sz="0" w:space="0" w:color="auto"/>
                    <w:left w:val="none" w:sz="0" w:space="0" w:color="auto"/>
                    <w:bottom w:val="none" w:sz="0" w:space="0" w:color="auto"/>
                    <w:right w:val="none" w:sz="0" w:space="0" w:color="auto"/>
                  </w:divBdr>
                  <w:divsChild>
                    <w:div w:id="427240430">
                      <w:marLeft w:val="0"/>
                      <w:marRight w:val="0"/>
                      <w:marTop w:val="0"/>
                      <w:marBottom w:val="0"/>
                      <w:divBdr>
                        <w:top w:val="none" w:sz="0" w:space="0" w:color="auto"/>
                        <w:left w:val="none" w:sz="0" w:space="0" w:color="auto"/>
                        <w:bottom w:val="none" w:sz="0" w:space="0" w:color="auto"/>
                        <w:right w:val="none" w:sz="0" w:space="0" w:color="auto"/>
                      </w:divBdr>
                    </w:div>
                  </w:divsChild>
                </w:div>
                <w:div w:id="263000937">
                  <w:marLeft w:val="0"/>
                  <w:marRight w:val="0"/>
                  <w:marTop w:val="0"/>
                  <w:marBottom w:val="0"/>
                  <w:divBdr>
                    <w:top w:val="none" w:sz="0" w:space="0" w:color="auto"/>
                    <w:left w:val="none" w:sz="0" w:space="0" w:color="auto"/>
                    <w:bottom w:val="none" w:sz="0" w:space="0" w:color="auto"/>
                    <w:right w:val="none" w:sz="0" w:space="0" w:color="auto"/>
                  </w:divBdr>
                  <w:divsChild>
                    <w:div w:id="1310743582">
                      <w:marLeft w:val="0"/>
                      <w:marRight w:val="0"/>
                      <w:marTop w:val="0"/>
                      <w:marBottom w:val="0"/>
                      <w:divBdr>
                        <w:top w:val="none" w:sz="0" w:space="0" w:color="auto"/>
                        <w:left w:val="none" w:sz="0" w:space="0" w:color="auto"/>
                        <w:bottom w:val="none" w:sz="0" w:space="0" w:color="auto"/>
                        <w:right w:val="none" w:sz="0" w:space="0" w:color="auto"/>
                      </w:divBdr>
                    </w:div>
                  </w:divsChild>
                </w:div>
                <w:div w:id="423113881">
                  <w:marLeft w:val="0"/>
                  <w:marRight w:val="0"/>
                  <w:marTop w:val="0"/>
                  <w:marBottom w:val="0"/>
                  <w:divBdr>
                    <w:top w:val="none" w:sz="0" w:space="0" w:color="auto"/>
                    <w:left w:val="none" w:sz="0" w:space="0" w:color="auto"/>
                    <w:bottom w:val="none" w:sz="0" w:space="0" w:color="auto"/>
                    <w:right w:val="none" w:sz="0" w:space="0" w:color="auto"/>
                  </w:divBdr>
                  <w:divsChild>
                    <w:div w:id="18946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7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OneDrive\CAS_LPE\Base%20empire%20T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DBD305C83B4EA1A4E64EA082DBA8AC"/>
        <w:category>
          <w:name w:val="Général"/>
          <w:gallery w:val="placeholder"/>
        </w:category>
        <w:types>
          <w:type w:val="bbPlcHdr"/>
        </w:types>
        <w:behaviors>
          <w:behavior w:val="content"/>
        </w:behaviors>
        <w:guid w:val="{2CF40672-AF28-4787-9E45-E1E02FB0B6DE}"/>
      </w:docPartPr>
      <w:docPartBody>
        <w:p w:rsidR="00AA5A7C" w:rsidRDefault="00AA5A7C">
          <w:pPr>
            <w:pStyle w:val="C1DBD305C83B4EA1A4E64EA082DBA8AC"/>
          </w:pPr>
          <w:r>
            <w:rPr>
              <w:color w:val="0F4761" w:themeColor="accent1" w:themeShade="BF"/>
              <w:lang w:val="fr-FR"/>
            </w:rPr>
            <w:t>[Sous-titre du document]</w:t>
          </w:r>
        </w:p>
      </w:docPartBody>
    </w:docPart>
    <w:docPart>
      <w:docPartPr>
        <w:name w:val="D378ED89BA084BBBB46D6322D845C3E3"/>
        <w:category>
          <w:name w:val="Général"/>
          <w:gallery w:val="placeholder"/>
        </w:category>
        <w:types>
          <w:type w:val="bbPlcHdr"/>
        </w:types>
        <w:behaviors>
          <w:behavior w:val="content"/>
        </w:behaviors>
        <w:guid w:val="{F5CC20FC-8F7C-4864-9BB9-677D6F06FAB8}"/>
      </w:docPartPr>
      <w:docPartBody>
        <w:p w:rsidR="00AA5A7C" w:rsidRDefault="00AA5A7C">
          <w:pPr>
            <w:pStyle w:val="D378ED89BA084BBBB46D6322D845C3E3"/>
          </w:pPr>
          <w:r>
            <w:rPr>
              <w:color w:val="156082" w:themeColor="accent1"/>
              <w:sz w:val="28"/>
              <w:szCs w:val="28"/>
              <w:lang w:val="fr-FR"/>
            </w:rPr>
            <w:t>[Nom de l’auteur]</w:t>
          </w:r>
        </w:p>
      </w:docPartBody>
    </w:docPart>
    <w:docPart>
      <w:docPartPr>
        <w:name w:val="140F377AB5A144B2BFC8F302FBB12FB8"/>
        <w:category>
          <w:name w:val="Général"/>
          <w:gallery w:val="placeholder"/>
        </w:category>
        <w:types>
          <w:type w:val="bbPlcHdr"/>
        </w:types>
        <w:behaviors>
          <w:behavior w:val="content"/>
        </w:behaviors>
        <w:guid w:val="{0623F8AF-140D-4217-B42C-8AD19108E59C}"/>
      </w:docPartPr>
      <w:docPartBody>
        <w:p w:rsidR="00AA5A7C" w:rsidRDefault="00AA5A7C">
          <w:pPr>
            <w:pStyle w:val="140F377AB5A144B2BFC8F302FBB12FB8"/>
          </w:pPr>
          <w:r>
            <w:rPr>
              <w:color w:val="156082" w:themeColor="accent1"/>
              <w:sz w:val="28"/>
              <w:szCs w:val="28"/>
              <w:lang w:val="fr-FR"/>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A7C"/>
    <w:rsid w:val="009354CB"/>
    <w:rsid w:val="00AA5A7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H" w:eastAsia="fr-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1DBD305C83B4EA1A4E64EA082DBA8AC">
    <w:name w:val="C1DBD305C83B4EA1A4E64EA082DBA8AC"/>
  </w:style>
  <w:style w:type="paragraph" w:customStyle="1" w:styleId="D378ED89BA084BBBB46D6322D845C3E3">
    <w:name w:val="D378ED89BA084BBBB46D6322D845C3E3"/>
  </w:style>
  <w:style w:type="paragraph" w:customStyle="1" w:styleId="140F377AB5A144B2BFC8F302FBB12FB8">
    <w:name w:val="140F377AB5A144B2BFC8F302FBB12F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2025-05-03T00:00:00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FA3BBF9F5BB14B8218BE985B7B3A3D" ma:contentTypeVersion="15" ma:contentTypeDescription="Crée un document." ma:contentTypeScope="" ma:versionID="a0eede69cd8cd80a0955c07101999d8e">
  <xsd:schema xmlns:xsd="http://www.w3.org/2001/XMLSchema" xmlns:xs="http://www.w3.org/2001/XMLSchema" xmlns:p="http://schemas.microsoft.com/office/2006/metadata/properties" xmlns:ns2="07104ea7-f245-4466-9c6f-6502bdf82c95" targetNamespace="http://schemas.microsoft.com/office/2006/metadata/properties" ma:root="true" ma:fieldsID="8f54a24f2bc50155ceff6fb6178e3218" ns2:_="">
    <xsd:import namespace="07104ea7-f245-4466-9c6f-6502bdf82c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Hub" minOccurs="0"/>
                <xsd:element ref="ns2:Niveau" minOccurs="0"/>
                <xsd:element ref="ns2:Th_x00e8_me" minOccurs="0"/>
                <xsd:element ref="ns2:Loi" minOccurs="0"/>
                <xsd:element ref="ns2:Difficult_x00e9_" minOccurs="0"/>
                <xsd:element ref="ns2:TAG" minOccurs="0"/>
                <xsd:element ref="ns2:Type_1" minOccurs="0"/>
                <xsd:element ref="ns2:Public" minOccurs="0"/>
                <xsd:element ref="ns2:Acc_x00e8_s" minOccurs="0"/>
                <xsd:element ref="ns2:Code_x002f_Loi" minOccurs="0"/>
                <xsd:element ref="ns2:Trousse" minOccurs="0"/>
                <xsd:element ref="ns2:Facult_x00e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4ea7-f245-4466-9c6f-6502bdf8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Hub" ma:index="11" nillable="true" ma:displayName="Hub" ma:format="Dropdown" ma:internalName="Hub">
      <xsd:simpleType>
        <xsd:union memberTypes="dms:Text">
          <xsd:simpleType>
            <xsd:restriction base="dms:Choice">
              <xsd:enumeration value="HUB-AFA"/>
              <xsd:enumeration value="HUB - APEA"/>
              <xsd:enumeration value="HUB-Assurances sociales"/>
              <xsd:enumeration value="HUB — CAS I"/>
              <xsd:enumeration value="HUB - CONSENTEMENT"/>
              <xsd:enumeration value="HUB — Droit médical"/>
              <xsd:enumeration value="HUB — Droits des patient·e·s"/>
              <xsd:enumeration value="HUB-EMS"/>
              <xsd:enumeration value="HUB-fin de vie"/>
              <xsd:enumeration value="HUB — Jurisprudence"/>
              <xsd:enumeration value="HUB — Méthodo"/>
              <xsd:enumeration value="HUB-PAFA"/>
              <xsd:enumeration value="HUB-PARACHUTE"/>
              <xsd:enumeration value="HUB-PARAMEDICAL"/>
              <xsd:enumeration value="HUB - PMA"/>
              <xsd:enumeration value="HUB-Ressources"/>
              <xsd:enumeration value="HUB-Responsabilité civile"/>
              <xsd:enumeration value="HUB — Secret médical"/>
            </xsd:restriction>
          </xsd:simpleType>
        </xsd:union>
      </xsd:simpleType>
    </xsd:element>
    <xsd:element name="Niveau" ma:index="12" nillable="true" ma:displayName="Niveau" ma:default="Basique" ma:format="Dropdown" ma:internalName="Niveau">
      <xsd:complexType>
        <xsd:complexContent>
          <xsd:extension base="dms:MultiChoice">
            <xsd:sequence>
              <xsd:element name="Value" maxOccurs="unbounded" minOccurs="0" nillable="true">
                <xsd:simpleType>
                  <xsd:restriction base="dms:Choice">
                    <xsd:enumeration value="Basique"/>
                    <xsd:enumeration value="Moyen"/>
                    <xsd:enumeration value="Difficile"/>
                    <xsd:enumeration value="Diabolique"/>
                    <xsd:enumeration value="Méga diabolique"/>
                  </xsd:restriction>
                </xsd:simpleType>
              </xsd:element>
            </xsd:sequence>
          </xsd:extension>
        </xsd:complexContent>
      </xsd:complexType>
    </xsd:element>
    <xsd:element name="Th_x00e8_me" ma:index="13" nillable="true" ma:displayName="Thème" ma:description="Thèmes" ma:format="Dropdown" ma:internalName="Th_x00e8_me">
      <xsd:simpleType>
        <xsd:restriction base="dms:Choice">
          <xsd:enumeration value="Assurances sociales"/>
          <xsd:enumeration value="Civil"/>
          <xsd:enumeration value="Consentement"/>
          <xsd:enumeration value="Constitution &amp; droits fondamentaux"/>
          <xsd:enumeration value="Contrats &amp; obligations"/>
          <xsd:enumeration value="Dossier médical &amp; droit d’accès"/>
          <xsd:enumeration value="Droit médical"/>
          <xsd:enumeration value="Droits des patient·e·s"/>
          <xsd:enumeration value="Droit public"/>
          <xsd:enumeration value="Ethique"/>
          <xsd:enumeration value="Famille &amp; filiation (PMA incluse)"/>
          <xsd:enumeration value="Fin de vie"/>
          <xsd:enumeration value="Français"/>
          <xsd:enumeration value="Institutions &amp; responsabilités pro (délégation, hiérarchie, auxiliaires, plainte/erreur)"/>
          <xsd:enumeration value="Intro"/>
          <xsd:enumeration value="Loi cantonale"/>
          <xsd:enumeration value="Méthodo"/>
          <xsd:enumeration value="Pénal"/>
          <xsd:enumeration value="Preuve &amp; documentation"/>
          <xsd:enumeration value="Procédure civile"/>
          <xsd:enumeration value="Procédure pénale"/>
          <xsd:enumeration value="Protection de l’adulte &amp; de l’enfant (APEA / PAFA)"/>
          <xsd:enumeration value="Responsabilité civile"/>
          <xsd:enumeration value="Responsabilité médicale"/>
          <xsd:enumeration value="Secret médical &amp; données"/>
          <xsd:enumeration value="Suite office"/>
          <xsd:enumeration value="Terminologie juridique"/>
          <xsd:enumeration value="Terminologie médicale"/>
        </xsd:restriction>
      </xsd:simpleType>
    </xsd:element>
    <xsd:element name="Loi" ma:index="14" nillable="true" ma:displayName="Loi" ma:description="Loi ou code concerné" ma:format="Dropdown" ma:internalName="Loi">
      <xsd:simpleType>
        <xsd:union memberTypes="dms:Text">
          <xsd:simpleType>
            <xsd:restriction base="dms:Choice">
              <xsd:enumeration value="CC"/>
              <xsd:enumeration value="CO"/>
              <xsd:enumeration value="CP"/>
              <xsd:enumeration value="CPC"/>
              <xsd:enumeration value="CPP"/>
              <xsd:enumeration value="CST"/>
              <xsd:enumeration value="LPD"/>
              <xsd:enumeration value="LAMal"/>
              <xsd:enumeration value="LAA"/>
              <xsd:enumeration value="AI"/>
              <xsd:enumeration value="LPGA"/>
              <xsd:enumeration value="APG"/>
              <xsd:enumeration value="LCA"/>
              <xsd:enumeration value="OAMal"/>
              <xsd:enumeration value="LHand"/>
            </xsd:restriction>
          </xsd:simpleType>
        </xsd:union>
      </xsd:simpleType>
    </xsd:element>
    <xsd:element name="Difficult_x00e9_" ma:index="15" nillable="true" ma:displayName="Difficulté" ma:description="niveau de difficulté" ma:format="Dropdown" ma:internalName="Difficult_x00e9_">
      <xsd:simpleType>
        <xsd:union memberTypes="dms:Text">
          <xsd:simpleType>
            <xsd:restriction base="dms:Choice">
              <xsd:enumeration value="Standard"/>
              <xsd:enumeration value="Moyen"/>
              <xsd:enumeration value="Difficile"/>
              <xsd:enumeration value="Difficile+"/>
              <xsd:enumeration value="Diabolique"/>
              <xsd:enumeration value="Méga diabolique"/>
            </xsd:restriction>
          </xsd:simpleType>
        </xsd:union>
      </xsd:simpleType>
    </xsd:element>
    <xsd:element name="TAG" ma:index="16" nillable="true" ma:displayName="TAGS" ma:format="Dropdown" ma:internalName="TAG">
      <xsd:simpleType>
        <xsd:restriction base="dms:Choice">
          <xsd:enumeration value="Accès aux soins"/>
          <xsd:enumeration value="Accident"/>
          <xsd:enumeration value="Annexe 1"/>
          <xsd:enumeration value="Assimilées"/>
          <xsd:enumeration value="Bases"/>
          <xsd:enumeration value="Checklist_Trap"/>
          <xsd:enumeration value="Chronologie"/>
          <xsd:enumeration value="Citer"/>
          <xsd:enumeration value="Discrimination"/>
          <xsd:enumeration value="Droits humains"/>
          <xsd:enumeration value="Consentement_Trap"/>
          <xsd:enumeration value="Coordination"/>
          <xsd:enumeration value="Exam_Trap"/>
          <xsd:enumeration value="Exos"/>
          <xsd:enumeration value="Exposition"/>
          <xsd:enumeration value="Faux_ami"/>
          <xsd:enumeration value="Fedlex"/>
          <xsd:enumeration value="FDS"/>
          <xsd:enumeration value="Handicap"/>
          <xsd:enumeration value="Hôpital"/>
          <xsd:enumeration value="Hors liste"/>
          <xsd:enumeration value="Liste"/>
          <xsd:enumeration value="Maladie"/>
          <xsd:enumeration value="Maladie pro"/>
          <xsd:enumeration value="Migration"/>
          <xsd:enumeration value="OLAA"/>
          <xsd:enumeration value="Piège"/>
          <xsd:enumeration value="Preuve_Trap"/>
          <xsd:enumeration value="Procedure_Trap"/>
          <xsd:enumeration value="Provisoire"/>
          <xsd:enumeration value="QCM"/>
          <xsd:enumeration value="Remboursement"/>
          <xsd:enumeration value="Resp_Trap"/>
          <xsd:enumeration value="Santé publique"/>
          <xsd:enumeration value="Tri"/>
          <xsd:enumeration value="Twist"/>
          <xsd:enumeration value="Usure"/>
        </xsd:restriction>
      </xsd:simpleType>
    </xsd:element>
    <xsd:element name="Type_1" ma:index="17" nillable="true" ma:displayName="Types" ma:default="FP" ma:description="types de ressources" ma:format="Dropdown" ma:internalName="Type_1">
      <xsd:simpleType>
        <xsd:restriction base="dms:Choice">
          <xsd:enumeration value="ARB"/>
          <xsd:enumeration value="CAN"/>
          <xsd:enumeration value="CAP"/>
          <xsd:enumeration value="CP"/>
          <xsd:enumeration value="CJX"/>
          <xsd:enumeration value="CM"/>
          <xsd:enumeration value="COR"/>
          <xsd:enumeration value="EXO"/>
          <xsd:enumeration value="FP"/>
          <xsd:enumeration value="FPED"/>
          <xsd:enumeration value="FMET"/>
          <xsd:enumeration value="FREX"/>
          <xsd:enumeration value="FS"/>
          <xsd:enumeration value="GP"/>
          <xsd:enumeration value="HUB"/>
          <xsd:enumeration value="MOD"/>
          <xsd:enumeration value="QCM"/>
          <xsd:enumeration value="SENT"/>
          <xsd:enumeration value="TAB"/>
          <xsd:enumeration value="TROU"/>
        </xsd:restriction>
      </xsd:simpleType>
    </xsd:element>
    <xsd:element name="Public" ma:index="18" nillable="true" ma:displayName="Public" ma:default="TEAM" ma:description="public cible" ma:format="Dropdown" ma:internalName="Public">
      <xsd:simpleType>
        <xsd:restriction base="dms:Choice">
          <xsd:enumeration value="ADM"/>
          <xsd:enumeration value="ETU"/>
          <xsd:enumeration value="JUR"/>
          <xsd:enumeration value="MED"/>
          <xsd:enumeration value="MTECH"/>
          <xsd:enumeration value="MTHER"/>
          <xsd:enumeration value="PARA"/>
          <xsd:enumeration value="TEAM"/>
        </xsd:restriction>
      </xsd:simpleType>
    </xsd:element>
    <xsd:element name="Acc_x00e8_s" ma:index="19" nillable="true" ma:displayName="Accès" ma:default="Public" ma:format="Dropdown" ma:internalName="Acc_x00e8_s">
      <xsd:simpleType>
        <xsd:restriction base="dms:Choice">
          <xsd:enumeration value="Public"/>
          <xsd:enumeration value="Premium"/>
        </xsd:restriction>
      </xsd:simpleType>
    </xsd:element>
    <xsd:element name="Code_x002f_Loi" ma:index="20" nillable="true" ma:displayName="Code /Loi" ma:description="Codes, lois, ordonnances et règlements" ma:format="Dropdown" ma:internalName="Code_x002f_Loi">
      <xsd:simpleType>
        <xsd:restriction base="dms:Choice">
          <xsd:enumeration value="AI"/>
          <xsd:enumeration value="APG"/>
          <xsd:enumeration value="CC"/>
          <xsd:enumeration value="CO"/>
          <xsd:enumeration value="CP"/>
          <xsd:enumeration value="CPC"/>
          <xsd:enumeration value="CPP"/>
          <xsd:enumeration value="CST"/>
          <xsd:enumeration value="LAA"/>
          <xsd:enumeration value="LAFAM"/>
          <xsd:enumeration value="LAM"/>
          <xsd:enumeration value="LAMal"/>
          <xsd:enumeration value="LAPG"/>
          <xsd:enumeration value="LAVI"/>
          <xsd:enumeration value="LCA"/>
          <xsd:enumeration value="LDEP"/>
          <xsd:enumeration value="LEMO"/>
          <xsd:enumeration value="LHand"/>
          <xsd:enumeration value="LPC"/>
          <xsd:enumeration value="LPD"/>
          <xsd:enumeration value="LPGA"/>
          <xsd:enumeration value="LPMed"/>
          <xsd:enumeration value="Lstup"/>
          <xsd:enumeration value="LPSan"/>
          <xsd:enumeration value="OCPSan"/>
          <xsd:enumeration value="LPMA"/>
          <xsd:enumeration value="LPTh"/>
          <xsd:enumeration value="Loi sur la transplantation"/>
          <xsd:enumeration value="LSAMal"/>
          <xsd:enumeration value="OAMal"/>
          <xsd:enumeration value="OCStup"/>
          <xsd:enumeration value="ODEP"/>
          <xsd:enumeration value="OLAA"/>
          <xsd:enumeration value="OMAA"/>
          <xsd:enumeration value="OMAV"/>
          <xsd:enumeration value="OPAS"/>
          <xsd:enumeration value="OPGA"/>
          <xsd:enumeration value="ORe-DFI"/>
          <xsd:enumeration value="ORPSan"/>
          <xsd:enumeration value="RAI"/>
          <xsd:enumeration value="Choix 40"/>
        </xsd:restriction>
      </xsd:simpleType>
    </xsd:element>
    <xsd:element name="Trousse" ma:index="21" nillable="true" ma:displayName="Trousse" ma:description="Trousses" ma:format="Dropdown" ma:internalName="Trousse">
      <xsd:simpleType>
        <xsd:restriction base="dms:Choice">
          <xsd:enumeration value="CAS_I"/>
          <xsd:enumeration value="Corrigés"/>
          <xsd:enumeration value="Découverte"/>
          <xsd:enumeration value="Entraînement"/>
          <xsd:enumeration value="Examen"/>
          <xsd:enumeration value="Expert"/>
          <xsd:enumeration value="Premium"/>
          <xsd:enumeration value="Standard"/>
          <xsd:enumeration value="Thématique"/>
        </xsd:restriction>
      </xsd:simpleType>
    </xsd:element>
    <xsd:element name="Facult_x00e9_" ma:index="22" nillable="true" ma:displayName="Faculté" ma:format="Dropdown" ma:internalName="Facult_x00e9_">
      <xsd:simpleType>
        <xsd:union memberTypes="dms:Text">
          <xsd:simpleType>
            <xsd:restriction base="dms:Choice">
              <xsd:enumeration value="ASSC"/>
              <xsd:enumeration value="Soins infirmiers"/>
              <xsd:enumeration value="Médecine"/>
              <xsd:enumeration value="Paramédicale"/>
              <xsd:enumeration value="Droit"/>
              <xsd:enumeration value="Patients &amp; proches"/>
              <xsd:enumeration value="Administration &amp; Management"/>
              <xsd:enumeration value="Formation continu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ifficult_x00e9_ xmlns="07104ea7-f245-4466-9c6f-6502bdf82c95" xsi:nil="true"/>
    <Loi xmlns="07104ea7-f245-4466-9c6f-6502bdf82c95" xsi:nil="true"/>
    <Th_x00e8_me xmlns="07104ea7-f245-4466-9c6f-6502bdf82c95">Responsabilité médicale</Th_x00e8_me>
    <TAG xmlns="07104ea7-f245-4466-9c6f-6502bdf82c95" xsi:nil="true"/>
    <Type_1 xmlns="07104ea7-f245-4466-9c6f-6502bdf82c95">CJX</Type_1>
    <Hub xmlns="07104ea7-f245-4466-9c6f-6502bdf82c95">HUB — Droit médical</Hub>
    <Niveau xmlns="07104ea7-f245-4466-9c6f-6502bdf82c95">
      <Value>Basique</Value>
    </Niveau>
    <Acc_x00e8_s xmlns="07104ea7-f245-4466-9c6f-6502bdf82c95">Premium</Acc_x00e8_s>
    <Public xmlns="07104ea7-f245-4466-9c6f-6502bdf82c95">TEAM</Public>
    <Code_x002f_Loi xmlns="07104ea7-f245-4466-9c6f-6502bdf82c95">CC</Code_x002f_Loi>
    <Trousse xmlns="07104ea7-f245-4466-9c6f-6502bdf82c95" xsi:nil="true"/>
    <Facult_x00e9_ xmlns="07104ea7-f245-4466-9c6f-6502bdf82c9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607435-30C2-4005-A856-737B2E8BA3FC}">
  <ds:schemaRefs>
    <ds:schemaRef ds:uri="http://schemas.openxmlformats.org/officeDocument/2006/bibliography"/>
  </ds:schemaRefs>
</ds:datastoreItem>
</file>

<file path=customXml/itemProps3.xml><?xml version="1.0" encoding="utf-8"?>
<ds:datastoreItem xmlns:ds="http://schemas.openxmlformats.org/officeDocument/2006/customXml" ds:itemID="{57CDA08A-521E-4270-84B5-EDB7CDA2D49F}"/>
</file>

<file path=customXml/itemProps4.xml><?xml version="1.0" encoding="utf-8"?>
<ds:datastoreItem xmlns:ds="http://schemas.openxmlformats.org/officeDocument/2006/customXml" ds:itemID="{AA922C4A-BE5F-4F9A-B654-C633B6D7B2D8}"/>
</file>

<file path=customXml/itemProps5.xml><?xml version="1.0" encoding="utf-8"?>
<ds:datastoreItem xmlns:ds="http://schemas.openxmlformats.org/officeDocument/2006/customXml" ds:itemID="{DBE41315-EEA3-4A50-A4E9-5E166B987DF7}"/>
</file>

<file path=docProps/app.xml><?xml version="1.0" encoding="utf-8"?>
<Properties xmlns="http://schemas.openxmlformats.org/officeDocument/2006/extended-properties" xmlns:vt="http://schemas.openxmlformats.org/officeDocument/2006/docPropsVTypes">
  <Template>Base empire TT</Template>
  <TotalTime>0</TotalTime>
  <Pages>22</Pages>
  <Words>6665</Words>
  <Characters>36662</Characters>
  <Application>Microsoft Office Word</Application>
  <DocSecurity>0</DocSecurity>
  <Lines>305</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Ennoncés &amp; réponsest</dc:subject>
  <dc:creator>Laurence Petoud</dc:creator>
  <cp:keywords/>
  <dc:description/>
  <cp:lastModifiedBy>Laurence Petoud</cp:lastModifiedBy>
  <cp:revision>7</cp:revision>
  <dcterms:created xsi:type="dcterms:W3CDTF">2025-05-11T11:39:00Z</dcterms:created>
  <dcterms:modified xsi:type="dcterms:W3CDTF">2025-05-11T12:27:00Z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0x01010009FA3BBF9F5BB14B8218BE985B7B3A3D</vt:lpwstr>
  </property>
</Properties>
</file>