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1A8AC" w14:textId="77777777" w:rsidR="003C3834" w:rsidRDefault="003C3834" w:rsidP="005444E9">
      <w:pPr>
        <w:spacing w:before="120" w:after="120" w:line="276" w:lineRule="auto"/>
        <w:rPr>
          <w:rFonts w:ascii="Verdana" w:hAnsi="Verdana" w:cs="Arial"/>
          <w:b/>
          <w:bCs/>
          <w:sz w:val="20"/>
          <w:szCs w:val="20"/>
        </w:rPr>
      </w:pPr>
    </w:p>
    <w:p w14:paraId="064B5D6E" w14:textId="77777777" w:rsidR="003C3834" w:rsidRDefault="003C3834" w:rsidP="005444E9">
      <w:pPr>
        <w:spacing w:before="120" w:after="120" w:line="276" w:lineRule="auto"/>
        <w:rPr>
          <w:rFonts w:ascii="Verdana" w:hAnsi="Verdana" w:cs="Arial"/>
          <w:b/>
          <w:bCs/>
          <w:sz w:val="20"/>
          <w:szCs w:val="20"/>
        </w:rPr>
      </w:pPr>
    </w:p>
    <w:p w14:paraId="40A95C51" w14:textId="0DD8AE03" w:rsidR="003C3834" w:rsidRDefault="006072C1" w:rsidP="005444E9">
      <w:pPr>
        <w:spacing w:before="120" w:after="120" w:line="276" w:lineRule="auto"/>
        <w:rPr>
          <w:rFonts w:ascii="Verdana" w:hAnsi="Verdana" w:cs="Arial"/>
          <w:b/>
          <w:bCs/>
          <w:sz w:val="20"/>
          <w:szCs w:val="20"/>
        </w:rPr>
      </w:pPr>
      <w:r>
        <w:rPr>
          <w:rFonts w:ascii="Verdana" w:hAnsi="Verdana" w:cs="Arial"/>
          <w:b/>
          <w:bCs/>
          <w:noProof/>
          <w:sz w:val="20"/>
          <w:szCs w:val="20"/>
        </w:rPr>
        <w:drawing>
          <wp:anchor distT="0" distB="0" distL="114300" distR="114300" simplePos="0" relativeHeight="251661312" behindDoc="0" locked="0" layoutInCell="1" allowOverlap="1" wp14:anchorId="4646A58A" wp14:editId="4C9853CC">
            <wp:simplePos x="0" y="0"/>
            <wp:positionH relativeFrom="margin">
              <wp:align>left</wp:align>
            </wp:positionH>
            <wp:positionV relativeFrom="paragraph">
              <wp:posOffset>26946</wp:posOffset>
            </wp:positionV>
            <wp:extent cx="3514357" cy="2108614"/>
            <wp:effectExtent l="0" t="0" r="0" b="6350"/>
            <wp:wrapNone/>
            <wp:docPr id="12898891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4357" cy="2108614"/>
                    </a:xfrm>
                    <a:prstGeom prst="rect">
                      <a:avLst/>
                    </a:prstGeom>
                    <a:noFill/>
                  </pic:spPr>
                </pic:pic>
              </a:graphicData>
            </a:graphic>
            <wp14:sizeRelH relativeFrom="page">
              <wp14:pctWidth>0</wp14:pctWidth>
            </wp14:sizeRelH>
            <wp14:sizeRelV relativeFrom="page">
              <wp14:pctHeight>0</wp14:pctHeight>
            </wp14:sizeRelV>
          </wp:anchor>
        </w:drawing>
      </w:r>
    </w:p>
    <w:p w14:paraId="1C1C762D" w14:textId="77777777" w:rsidR="003C3834" w:rsidRDefault="003C3834" w:rsidP="005444E9">
      <w:pPr>
        <w:spacing w:before="120" w:after="120" w:line="276" w:lineRule="auto"/>
        <w:rPr>
          <w:rFonts w:ascii="Verdana" w:hAnsi="Verdana" w:cs="Arial"/>
          <w:b/>
          <w:bCs/>
          <w:sz w:val="20"/>
          <w:szCs w:val="20"/>
        </w:rPr>
      </w:pPr>
    </w:p>
    <w:p w14:paraId="778114E5" w14:textId="24B6A4B0" w:rsidR="003C3834" w:rsidRDefault="003C3834" w:rsidP="005444E9">
      <w:pPr>
        <w:spacing w:before="120" w:after="120" w:line="276" w:lineRule="auto"/>
        <w:rPr>
          <w:rFonts w:ascii="Verdana" w:hAnsi="Verdana" w:cs="Arial"/>
          <w:b/>
          <w:bCs/>
          <w:sz w:val="20"/>
          <w:szCs w:val="20"/>
        </w:rPr>
      </w:pPr>
    </w:p>
    <w:p w14:paraId="0A1F1B85" w14:textId="77777777" w:rsidR="003C3834" w:rsidRDefault="003C3834" w:rsidP="005444E9">
      <w:pPr>
        <w:spacing w:before="120" w:after="120" w:line="276" w:lineRule="auto"/>
        <w:rPr>
          <w:rFonts w:ascii="Verdana" w:hAnsi="Verdana" w:cs="Arial"/>
          <w:b/>
          <w:bCs/>
          <w:sz w:val="20"/>
          <w:szCs w:val="20"/>
        </w:rPr>
      </w:pPr>
    </w:p>
    <w:p w14:paraId="5A6CA2C1" w14:textId="77777777" w:rsidR="003C3834" w:rsidRDefault="003C3834" w:rsidP="005444E9">
      <w:pPr>
        <w:spacing w:before="120" w:after="120" w:line="276" w:lineRule="auto"/>
        <w:rPr>
          <w:rFonts w:ascii="Verdana" w:hAnsi="Verdana" w:cs="Arial"/>
          <w:b/>
          <w:bCs/>
          <w:sz w:val="20"/>
          <w:szCs w:val="20"/>
        </w:rPr>
      </w:pPr>
    </w:p>
    <w:p w14:paraId="419A561C" w14:textId="77777777" w:rsidR="003C3834" w:rsidRDefault="003C3834" w:rsidP="005444E9">
      <w:pPr>
        <w:spacing w:before="120" w:after="120" w:line="276" w:lineRule="auto"/>
        <w:rPr>
          <w:rFonts w:ascii="Verdana" w:hAnsi="Verdana" w:cs="Arial"/>
          <w:b/>
          <w:bCs/>
          <w:sz w:val="20"/>
          <w:szCs w:val="20"/>
        </w:rPr>
      </w:pPr>
    </w:p>
    <w:p w14:paraId="146D5561" w14:textId="77777777" w:rsidR="003C3834" w:rsidRDefault="003C3834" w:rsidP="005444E9">
      <w:pPr>
        <w:spacing w:before="120" w:after="120" w:line="276" w:lineRule="auto"/>
        <w:rPr>
          <w:rFonts w:ascii="Verdana" w:hAnsi="Verdana" w:cs="Arial"/>
          <w:b/>
          <w:bCs/>
          <w:sz w:val="20"/>
          <w:szCs w:val="20"/>
        </w:rPr>
      </w:pPr>
    </w:p>
    <w:p w14:paraId="2C489EBF" w14:textId="77777777" w:rsidR="003C3834" w:rsidRDefault="003C3834" w:rsidP="005444E9">
      <w:pPr>
        <w:spacing w:before="120" w:after="120" w:line="276" w:lineRule="auto"/>
        <w:rPr>
          <w:rFonts w:ascii="Verdana" w:hAnsi="Verdana" w:cs="Arial"/>
          <w:b/>
          <w:bCs/>
          <w:sz w:val="20"/>
          <w:szCs w:val="20"/>
        </w:rPr>
      </w:pPr>
    </w:p>
    <w:p w14:paraId="64CF255A" w14:textId="77777777" w:rsidR="003C3834" w:rsidRDefault="003C3834" w:rsidP="005444E9">
      <w:pPr>
        <w:spacing w:before="120" w:after="120" w:line="276" w:lineRule="auto"/>
        <w:rPr>
          <w:rFonts w:ascii="Verdana" w:hAnsi="Verdana" w:cs="Arial"/>
          <w:b/>
          <w:bCs/>
          <w:sz w:val="20"/>
          <w:szCs w:val="20"/>
        </w:rPr>
      </w:pPr>
    </w:p>
    <w:p w14:paraId="1042B837" w14:textId="573EFD81" w:rsidR="003C3834" w:rsidRDefault="003C3834" w:rsidP="005444E9">
      <w:pPr>
        <w:spacing w:before="120" w:after="120" w:line="276" w:lineRule="auto"/>
        <w:rPr>
          <w:rFonts w:ascii="Verdana" w:hAnsi="Verdana" w:cs="Arial"/>
          <w:b/>
          <w:bCs/>
          <w:sz w:val="20"/>
          <w:szCs w:val="20"/>
        </w:rPr>
      </w:pPr>
    </w:p>
    <w:p w14:paraId="5D2A4E9F" w14:textId="53FD3764" w:rsidR="003C3834" w:rsidRDefault="003C3834" w:rsidP="005444E9">
      <w:pPr>
        <w:spacing w:before="120" w:after="120" w:line="276" w:lineRule="auto"/>
        <w:rPr>
          <w:rFonts w:ascii="Verdana" w:hAnsi="Verdana" w:cs="Arial"/>
          <w:b/>
          <w:bCs/>
          <w:sz w:val="20"/>
          <w:szCs w:val="20"/>
        </w:rPr>
      </w:pPr>
    </w:p>
    <w:p w14:paraId="7E50ACD6" w14:textId="26901289" w:rsidR="003C3834" w:rsidRDefault="006072C1" w:rsidP="005444E9">
      <w:pPr>
        <w:spacing w:before="120" w:after="120" w:line="276" w:lineRule="auto"/>
        <w:rPr>
          <w:rFonts w:ascii="Verdana" w:hAnsi="Verdana" w:cs="Arial"/>
          <w:b/>
          <w:bCs/>
          <w:sz w:val="20"/>
          <w:szCs w:val="20"/>
        </w:rPr>
      </w:pPr>
      <w:r>
        <w:rPr>
          <w:rFonts w:ascii="Verdana" w:hAnsi="Verdana" w:cs="Arial"/>
          <w:b/>
          <w:bCs/>
          <w:noProof/>
          <w:sz w:val="20"/>
          <w:szCs w:val="20"/>
        </w:rPr>
        <w:drawing>
          <wp:anchor distT="0" distB="0" distL="114300" distR="114300" simplePos="0" relativeHeight="251662336" behindDoc="0" locked="0" layoutInCell="1" allowOverlap="1" wp14:anchorId="6E85BB86" wp14:editId="4991A0C4">
            <wp:simplePos x="0" y="0"/>
            <wp:positionH relativeFrom="column">
              <wp:posOffset>1954116</wp:posOffset>
            </wp:positionH>
            <wp:positionV relativeFrom="paragraph">
              <wp:posOffset>3589</wp:posOffset>
            </wp:positionV>
            <wp:extent cx="3967480" cy="2519895"/>
            <wp:effectExtent l="0" t="0" r="0" b="0"/>
            <wp:wrapNone/>
            <wp:docPr id="8092168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7480" cy="2519895"/>
                    </a:xfrm>
                    <a:prstGeom prst="rect">
                      <a:avLst/>
                    </a:prstGeom>
                    <a:noFill/>
                  </pic:spPr>
                </pic:pic>
              </a:graphicData>
            </a:graphic>
            <wp14:sizeRelH relativeFrom="page">
              <wp14:pctWidth>0</wp14:pctWidth>
            </wp14:sizeRelH>
            <wp14:sizeRelV relativeFrom="page">
              <wp14:pctHeight>0</wp14:pctHeight>
            </wp14:sizeRelV>
          </wp:anchor>
        </w:drawing>
      </w:r>
    </w:p>
    <w:p w14:paraId="3ABCD66C" w14:textId="77777777" w:rsidR="003C3834" w:rsidRDefault="003C3834" w:rsidP="005444E9">
      <w:pPr>
        <w:spacing w:before="120" w:after="120" w:line="276" w:lineRule="auto"/>
        <w:rPr>
          <w:rFonts w:ascii="Verdana" w:hAnsi="Verdana" w:cs="Arial"/>
          <w:b/>
          <w:bCs/>
          <w:sz w:val="20"/>
          <w:szCs w:val="20"/>
        </w:rPr>
      </w:pPr>
    </w:p>
    <w:p w14:paraId="74008EEB" w14:textId="77777777" w:rsidR="003C3834" w:rsidRDefault="003C3834" w:rsidP="005444E9">
      <w:pPr>
        <w:spacing w:before="120" w:after="120" w:line="276" w:lineRule="auto"/>
        <w:rPr>
          <w:rFonts w:ascii="Verdana" w:hAnsi="Verdana" w:cs="Arial"/>
          <w:b/>
          <w:bCs/>
          <w:sz w:val="20"/>
          <w:szCs w:val="20"/>
        </w:rPr>
      </w:pPr>
    </w:p>
    <w:p w14:paraId="135B4F0C" w14:textId="77777777" w:rsidR="003C3834" w:rsidRDefault="003C3834" w:rsidP="005444E9">
      <w:pPr>
        <w:spacing w:before="120" w:after="120" w:line="276" w:lineRule="auto"/>
        <w:rPr>
          <w:rFonts w:ascii="Verdana" w:hAnsi="Verdana" w:cs="Arial"/>
          <w:b/>
          <w:bCs/>
          <w:sz w:val="20"/>
          <w:szCs w:val="20"/>
        </w:rPr>
      </w:pPr>
    </w:p>
    <w:p w14:paraId="26B6063B" w14:textId="77777777" w:rsidR="003C3834" w:rsidRDefault="003C3834" w:rsidP="005444E9">
      <w:pPr>
        <w:spacing w:before="120" w:after="120" w:line="276" w:lineRule="auto"/>
        <w:rPr>
          <w:rFonts w:ascii="Verdana" w:hAnsi="Verdana" w:cs="Arial"/>
          <w:b/>
          <w:bCs/>
          <w:sz w:val="20"/>
          <w:szCs w:val="20"/>
        </w:rPr>
      </w:pPr>
    </w:p>
    <w:p w14:paraId="685E5737" w14:textId="77777777" w:rsidR="003C3834" w:rsidRDefault="003C3834" w:rsidP="005444E9">
      <w:pPr>
        <w:spacing w:before="120" w:after="120" w:line="276" w:lineRule="auto"/>
        <w:rPr>
          <w:rFonts w:ascii="Verdana" w:hAnsi="Verdana" w:cs="Arial"/>
          <w:b/>
          <w:bCs/>
          <w:sz w:val="20"/>
          <w:szCs w:val="20"/>
        </w:rPr>
      </w:pPr>
    </w:p>
    <w:p w14:paraId="19415DC7" w14:textId="77777777" w:rsidR="003C3834" w:rsidRDefault="003C3834" w:rsidP="005444E9">
      <w:pPr>
        <w:spacing w:before="120" w:after="120" w:line="276" w:lineRule="auto"/>
        <w:rPr>
          <w:rFonts w:ascii="Verdana" w:hAnsi="Verdana" w:cs="Arial"/>
          <w:b/>
          <w:bCs/>
          <w:sz w:val="20"/>
          <w:szCs w:val="20"/>
        </w:rPr>
      </w:pPr>
    </w:p>
    <w:p w14:paraId="42360EA9" w14:textId="77777777" w:rsidR="003C3834" w:rsidRDefault="003C3834" w:rsidP="005444E9">
      <w:pPr>
        <w:spacing w:before="120" w:after="120" w:line="276" w:lineRule="auto"/>
        <w:rPr>
          <w:rFonts w:ascii="Verdana" w:hAnsi="Verdana" w:cs="Arial"/>
          <w:b/>
          <w:bCs/>
          <w:sz w:val="20"/>
          <w:szCs w:val="20"/>
        </w:rPr>
      </w:pPr>
    </w:p>
    <w:p w14:paraId="7A661B16" w14:textId="77777777" w:rsidR="003C3834" w:rsidRDefault="003C3834" w:rsidP="005444E9">
      <w:pPr>
        <w:spacing w:before="120" w:after="120" w:line="276" w:lineRule="auto"/>
        <w:rPr>
          <w:rFonts w:ascii="Verdana" w:hAnsi="Verdana" w:cs="Arial"/>
          <w:b/>
          <w:bCs/>
          <w:sz w:val="20"/>
          <w:szCs w:val="20"/>
        </w:rPr>
      </w:pPr>
    </w:p>
    <w:p w14:paraId="79B5FDB0" w14:textId="77777777" w:rsidR="003C3834" w:rsidRDefault="003C3834" w:rsidP="005444E9">
      <w:pPr>
        <w:spacing w:before="120" w:after="120" w:line="276" w:lineRule="auto"/>
        <w:rPr>
          <w:rFonts w:ascii="Verdana" w:hAnsi="Verdana" w:cs="Arial"/>
          <w:b/>
          <w:bCs/>
          <w:sz w:val="20"/>
          <w:szCs w:val="20"/>
        </w:rPr>
      </w:pPr>
    </w:p>
    <w:p w14:paraId="7DC8AD35" w14:textId="77777777" w:rsidR="003C3834" w:rsidRDefault="003C3834" w:rsidP="005444E9">
      <w:pPr>
        <w:spacing w:before="120" w:after="120" w:line="276" w:lineRule="auto"/>
        <w:rPr>
          <w:rFonts w:ascii="Verdana" w:hAnsi="Verdana" w:cs="Arial"/>
          <w:b/>
          <w:bCs/>
          <w:sz w:val="20"/>
          <w:szCs w:val="20"/>
        </w:rPr>
      </w:pPr>
    </w:p>
    <w:p w14:paraId="07DA7E15" w14:textId="77777777" w:rsidR="003C3834" w:rsidRDefault="003C3834" w:rsidP="005444E9">
      <w:pPr>
        <w:spacing w:before="120" w:after="120" w:line="276" w:lineRule="auto"/>
        <w:rPr>
          <w:rFonts w:ascii="Verdana" w:hAnsi="Verdana" w:cs="Arial"/>
          <w:b/>
          <w:bCs/>
          <w:sz w:val="20"/>
          <w:szCs w:val="20"/>
        </w:rPr>
      </w:pPr>
    </w:p>
    <w:p w14:paraId="6380CE2F" w14:textId="00ADDAD7" w:rsidR="003C3834" w:rsidRPr="003C3834" w:rsidRDefault="003C3834" w:rsidP="005444E9">
      <w:pPr>
        <w:widowControl w:val="0"/>
        <w:spacing w:before="120" w:after="120" w:line="276" w:lineRule="auto"/>
        <w:rPr>
          <w:rFonts w:ascii="Verdana" w:eastAsia="Cambria" w:hAnsi="Verdana" w:cs="Times New Roman"/>
          <w:b/>
          <w:bCs/>
          <w:iCs/>
          <w:color w:val="0070C0"/>
        </w:rPr>
      </w:pPr>
      <w:r w:rsidRPr="003C3834">
        <w:rPr>
          <w:rFonts w:ascii="Verdana" w:eastAsia="Cambria" w:hAnsi="Verdana" w:cs="Times New Roman"/>
          <w:b/>
          <w:bCs/>
          <w:iCs/>
          <w:color w:val="0070C0"/>
        </w:rPr>
        <w:t xml:space="preserve">MODULE </w:t>
      </w:r>
    </w:p>
    <w:p w14:paraId="5F72DF1A" w14:textId="1E491F09" w:rsidR="003C3834" w:rsidRPr="003C3834" w:rsidRDefault="003C3834" w:rsidP="005444E9">
      <w:pPr>
        <w:numPr>
          <w:ilvl w:val="0"/>
          <w:numId w:val="20"/>
        </w:numPr>
        <w:spacing w:before="120" w:after="120" w:line="276" w:lineRule="auto"/>
        <w:ind w:left="709"/>
        <w:contextualSpacing/>
        <w:jc w:val="both"/>
        <w:rPr>
          <w:rFonts w:ascii="Verdana" w:eastAsia="MS Mincho" w:hAnsi="Verdana" w:cs="Times New Roman"/>
          <w:b/>
          <w:bCs/>
          <w:iCs/>
          <w:color w:val="17365D"/>
          <w:szCs w:val="21"/>
          <w:lang w:eastAsia="zh-CN"/>
        </w:rPr>
      </w:pPr>
      <w:r>
        <w:rPr>
          <w:rFonts w:ascii="Verdana" w:eastAsia="MS Mincho" w:hAnsi="Verdana" w:cs="Times New Roman"/>
          <w:b/>
          <w:bCs/>
          <w:iCs/>
          <w:color w:val="17365D"/>
          <w:szCs w:val="21"/>
          <w:lang w:eastAsia="zh-CN"/>
        </w:rPr>
        <w:t>Lutte contre les épidémies et droits humains</w:t>
      </w:r>
      <w:r w:rsidRPr="003C3834">
        <w:rPr>
          <w:rFonts w:ascii="Verdana" w:eastAsia="MS Mincho" w:hAnsi="Verdana" w:cs="Times New Roman"/>
          <w:b/>
          <w:bCs/>
          <w:iCs/>
          <w:color w:val="17365D"/>
          <w:szCs w:val="21"/>
          <w:lang w:eastAsia="zh-CN"/>
        </w:rPr>
        <w:br w:type="page"/>
      </w:r>
    </w:p>
    <w:p w14:paraId="1AD1927A" w14:textId="0574FACF" w:rsidR="00195E9B" w:rsidRDefault="00FC0216" w:rsidP="005444E9">
      <w:pPr>
        <w:spacing w:before="120" w:after="120" w:line="276" w:lineRule="auto"/>
        <w:rPr>
          <w:rFonts w:ascii="Verdana" w:hAnsi="Verdana" w:cs="Arial"/>
          <w:b/>
          <w:bCs/>
          <w:sz w:val="20"/>
          <w:szCs w:val="20"/>
        </w:rPr>
      </w:pPr>
      <w:r>
        <w:rPr>
          <w:rFonts w:ascii="Verdana" w:hAnsi="Verdana" w:cs="Arial"/>
          <w:b/>
          <w:bCs/>
          <w:sz w:val="20"/>
          <w:szCs w:val="20"/>
        </w:rPr>
        <w:lastRenderedPageBreak/>
        <w:t>TABLE DES MATIERES</w:t>
      </w:r>
    </w:p>
    <w:p w14:paraId="213BF21C" w14:textId="77777777" w:rsidR="00FC0216" w:rsidRDefault="00FC0216" w:rsidP="005444E9">
      <w:pPr>
        <w:spacing w:before="120" w:after="120" w:line="276" w:lineRule="auto"/>
        <w:rPr>
          <w:rFonts w:ascii="Verdana" w:hAnsi="Verdana" w:cs="Arial"/>
          <w:b/>
          <w:bCs/>
          <w:sz w:val="20"/>
          <w:szCs w:val="20"/>
        </w:rPr>
      </w:pPr>
    </w:p>
    <w:p w14:paraId="71A9F89D" w14:textId="3FF2F4BC" w:rsidR="00711D2F" w:rsidRDefault="00711D2F">
      <w:pPr>
        <w:pStyle w:val="TM1"/>
        <w:tabs>
          <w:tab w:val="left" w:pos="440"/>
          <w:tab w:val="right" w:leader="dot" w:pos="9346"/>
        </w:tabs>
        <w:rPr>
          <w:noProof/>
        </w:rPr>
      </w:pPr>
      <w:r>
        <w:rPr>
          <w:rFonts w:ascii="Verdana" w:hAnsi="Verdana" w:cs="Arial"/>
          <w:b/>
          <w:bCs/>
          <w:sz w:val="20"/>
          <w:szCs w:val="20"/>
        </w:rPr>
        <w:fldChar w:fldCharType="begin"/>
      </w:r>
      <w:r>
        <w:rPr>
          <w:rFonts w:ascii="Verdana" w:hAnsi="Verdana" w:cs="Arial"/>
          <w:b/>
          <w:bCs/>
          <w:sz w:val="20"/>
          <w:szCs w:val="20"/>
        </w:rPr>
        <w:instrText xml:space="preserve"> TOC \o "1-3" \h \z \u </w:instrText>
      </w:r>
      <w:r>
        <w:rPr>
          <w:rFonts w:ascii="Verdana" w:hAnsi="Verdana" w:cs="Arial"/>
          <w:b/>
          <w:bCs/>
          <w:sz w:val="20"/>
          <w:szCs w:val="20"/>
        </w:rPr>
        <w:fldChar w:fldCharType="separate"/>
      </w:r>
      <w:hyperlink w:anchor="_Toc131489867" w:history="1">
        <w:r w:rsidRPr="000F3078">
          <w:rPr>
            <w:rStyle w:val="Lienhypertexte"/>
            <w:noProof/>
          </w:rPr>
          <w:t>I.</w:t>
        </w:r>
        <w:r>
          <w:rPr>
            <w:noProof/>
          </w:rPr>
          <w:tab/>
        </w:r>
        <w:r w:rsidRPr="000F3078">
          <w:rPr>
            <w:rStyle w:val="Lienhypertexte"/>
            <w:noProof/>
          </w:rPr>
          <w:t>Définitions juridiques</w:t>
        </w:r>
        <w:r>
          <w:rPr>
            <w:noProof/>
            <w:webHidden/>
          </w:rPr>
          <w:tab/>
        </w:r>
        <w:r>
          <w:rPr>
            <w:noProof/>
            <w:webHidden/>
          </w:rPr>
          <w:fldChar w:fldCharType="begin"/>
        </w:r>
        <w:r>
          <w:rPr>
            <w:noProof/>
            <w:webHidden/>
          </w:rPr>
          <w:instrText xml:space="preserve"> PAGEREF _Toc131489867 \h </w:instrText>
        </w:r>
        <w:r>
          <w:rPr>
            <w:noProof/>
            <w:webHidden/>
          </w:rPr>
        </w:r>
        <w:r>
          <w:rPr>
            <w:noProof/>
            <w:webHidden/>
          </w:rPr>
          <w:fldChar w:fldCharType="separate"/>
        </w:r>
        <w:r>
          <w:rPr>
            <w:noProof/>
            <w:webHidden/>
          </w:rPr>
          <w:t>3</w:t>
        </w:r>
        <w:r>
          <w:rPr>
            <w:noProof/>
            <w:webHidden/>
          </w:rPr>
          <w:fldChar w:fldCharType="end"/>
        </w:r>
      </w:hyperlink>
    </w:p>
    <w:p w14:paraId="20B3920D" w14:textId="15981302" w:rsidR="00711D2F" w:rsidRDefault="00711D2F">
      <w:pPr>
        <w:pStyle w:val="TM1"/>
        <w:tabs>
          <w:tab w:val="left" w:pos="440"/>
          <w:tab w:val="right" w:leader="dot" w:pos="9346"/>
        </w:tabs>
        <w:rPr>
          <w:noProof/>
        </w:rPr>
      </w:pPr>
      <w:hyperlink w:anchor="_Toc131489868" w:history="1">
        <w:r w:rsidRPr="000F3078">
          <w:rPr>
            <w:rStyle w:val="Lienhypertexte"/>
            <w:noProof/>
          </w:rPr>
          <w:t>II.</w:t>
        </w:r>
        <w:r>
          <w:rPr>
            <w:noProof/>
          </w:rPr>
          <w:tab/>
        </w:r>
        <w:r w:rsidRPr="000F3078">
          <w:rPr>
            <w:rStyle w:val="Lienhypertexte"/>
            <w:noProof/>
          </w:rPr>
          <w:t>Rappel historique (plan international)</w:t>
        </w:r>
        <w:r>
          <w:rPr>
            <w:noProof/>
            <w:webHidden/>
          </w:rPr>
          <w:tab/>
        </w:r>
        <w:r>
          <w:rPr>
            <w:noProof/>
            <w:webHidden/>
          </w:rPr>
          <w:fldChar w:fldCharType="begin"/>
        </w:r>
        <w:r>
          <w:rPr>
            <w:noProof/>
            <w:webHidden/>
          </w:rPr>
          <w:instrText xml:space="preserve"> PAGEREF _Toc131489868 \h </w:instrText>
        </w:r>
        <w:r>
          <w:rPr>
            <w:noProof/>
            <w:webHidden/>
          </w:rPr>
        </w:r>
        <w:r>
          <w:rPr>
            <w:noProof/>
            <w:webHidden/>
          </w:rPr>
          <w:fldChar w:fldCharType="separate"/>
        </w:r>
        <w:r>
          <w:rPr>
            <w:noProof/>
            <w:webHidden/>
          </w:rPr>
          <w:t>3</w:t>
        </w:r>
        <w:r>
          <w:rPr>
            <w:noProof/>
            <w:webHidden/>
          </w:rPr>
          <w:fldChar w:fldCharType="end"/>
        </w:r>
      </w:hyperlink>
    </w:p>
    <w:p w14:paraId="23F6CFAC" w14:textId="1B846BEF" w:rsidR="00711D2F" w:rsidRDefault="00711D2F">
      <w:pPr>
        <w:pStyle w:val="TM1"/>
        <w:tabs>
          <w:tab w:val="left" w:pos="660"/>
          <w:tab w:val="right" w:leader="dot" w:pos="9346"/>
        </w:tabs>
        <w:rPr>
          <w:noProof/>
        </w:rPr>
      </w:pPr>
      <w:hyperlink w:anchor="_Toc131489869" w:history="1">
        <w:r w:rsidRPr="000F3078">
          <w:rPr>
            <w:rStyle w:val="Lienhypertexte"/>
            <w:noProof/>
          </w:rPr>
          <w:t>III.</w:t>
        </w:r>
        <w:r>
          <w:rPr>
            <w:noProof/>
          </w:rPr>
          <w:tab/>
        </w:r>
        <w:r w:rsidRPr="000F3078">
          <w:rPr>
            <w:rStyle w:val="Lienhypertexte"/>
            <w:noProof/>
          </w:rPr>
          <w:t>Bases légales suisses</w:t>
        </w:r>
        <w:r>
          <w:rPr>
            <w:noProof/>
            <w:webHidden/>
          </w:rPr>
          <w:tab/>
        </w:r>
        <w:r>
          <w:rPr>
            <w:noProof/>
            <w:webHidden/>
          </w:rPr>
          <w:fldChar w:fldCharType="begin"/>
        </w:r>
        <w:r>
          <w:rPr>
            <w:noProof/>
            <w:webHidden/>
          </w:rPr>
          <w:instrText xml:space="preserve"> PAGEREF _Toc131489869 \h </w:instrText>
        </w:r>
        <w:r>
          <w:rPr>
            <w:noProof/>
            <w:webHidden/>
          </w:rPr>
        </w:r>
        <w:r>
          <w:rPr>
            <w:noProof/>
            <w:webHidden/>
          </w:rPr>
          <w:fldChar w:fldCharType="separate"/>
        </w:r>
        <w:r>
          <w:rPr>
            <w:noProof/>
            <w:webHidden/>
          </w:rPr>
          <w:t>5</w:t>
        </w:r>
        <w:r>
          <w:rPr>
            <w:noProof/>
            <w:webHidden/>
          </w:rPr>
          <w:fldChar w:fldCharType="end"/>
        </w:r>
      </w:hyperlink>
    </w:p>
    <w:p w14:paraId="4E89AFE2" w14:textId="1DD79078" w:rsidR="00711D2F" w:rsidRDefault="00711D2F">
      <w:pPr>
        <w:pStyle w:val="TM1"/>
        <w:tabs>
          <w:tab w:val="left" w:pos="660"/>
          <w:tab w:val="right" w:leader="dot" w:pos="9346"/>
        </w:tabs>
        <w:rPr>
          <w:noProof/>
        </w:rPr>
      </w:pPr>
      <w:hyperlink w:anchor="_Toc131489870" w:history="1">
        <w:r w:rsidRPr="000F3078">
          <w:rPr>
            <w:rStyle w:val="Lienhypertexte"/>
            <w:noProof/>
          </w:rPr>
          <w:t>IV.</w:t>
        </w:r>
        <w:r>
          <w:rPr>
            <w:noProof/>
          </w:rPr>
          <w:tab/>
        </w:r>
        <w:r w:rsidRPr="000F3078">
          <w:rPr>
            <w:rStyle w:val="Lienhypertexte"/>
            <w:noProof/>
          </w:rPr>
          <w:t>LES BASES LEGALES DES DIFFERENTES ORDONNANCES DU CONSEIL FEDERAL</w:t>
        </w:r>
        <w:r>
          <w:rPr>
            <w:noProof/>
            <w:webHidden/>
          </w:rPr>
          <w:tab/>
        </w:r>
        <w:r>
          <w:rPr>
            <w:noProof/>
            <w:webHidden/>
          </w:rPr>
          <w:fldChar w:fldCharType="begin"/>
        </w:r>
        <w:r>
          <w:rPr>
            <w:noProof/>
            <w:webHidden/>
          </w:rPr>
          <w:instrText xml:space="preserve"> PAGEREF _Toc131489870 \h </w:instrText>
        </w:r>
        <w:r>
          <w:rPr>
            <w:noProof/>
            <w:webHidden/>
          </w:rPr>
        </w:r>
        <w:r>
          <w:rPr>
            <w:noProof/>
            <w:webHidden/>
          </w:rPr>
          <w:fldChar w:fldCharType="separate"/>
        </w:r>
        <w:r>
          <w:rPr>
            <w:noProof/>
            <w:webHidden/>
          </w:rPr>
          <w:t>10</w:t>
        </w:r>
        <w:r>
          <w:rPr>
            <w:noProof/>
            <w:webHidden/>
          </w:rPr>
          <w:fldChar w:fldCharType="end"/>
        </w:r>
      </w:hyperlink>
    </w:p>
    <w:p w14:paraId="132D4600" w14:textId="2B186EAB" w:rsidR="00711D2F" w:rsidRDefault="00711D2F">
      <w:pPr>
        <w:pStyle w:val="TM1"/>
        <w:tabs>
          <w:tab w:val="left" w:pos="440"/>
          <w:tab w:val="right" w:leader="dot" w:pos="9346"/>
        </w:tabs>
        <w:rPr>
          <w:noProof/>
        </w:rPr>
      </w:pPr>
      <w:hyperlink w:anchor="_Toc131489871" w:history="1">
        <w:r w:rsidRPr="000F3078">
          <w:rPr>
            <w:rStyle w:val="Lienhypertexte"/>
            <w:noProof/>
          </w:rPr>
          <w:t>V.</w:t>
        </w:r>
        <w:r>
          <w:rPr>
            <w:noProof/>
          </w:rPr>
          <w:tab/>
        </w:r>
        <w:r w:rsidRPr="000F3078">
          <w:rPr>
            <w:rStyle w:val="Lienhypertexte"/>
            <w:noProof/>
          </w:rPr>
          <w:t>LOI FEDERALE URGENTE</w:t>
        </w:r>
        <w:r>
          <w:rPr>
            <w:noProof/>
            <w:webHidden/>
          </w:rPr>
          <w:tab/>
        </w:r>
        <w:r>
          <w:rPr>
            <w:noProof/>
            <w:webHidden/>
          </w:rPr>
          <w:fldChar w:fldCharType="begin"/>
        </w:r>
        <w:r>
          <w:rPr>
            <w:noProof/>
            <w:webHidden/>
          </w:rPr>
          <w:instrText xml:space="preserve"> PAGEREF _Toc131489871 \h </w:instrText>
        </w:r>
        <w:r>
          <w:rPr>
            <w:noProof/>
            <w:webHidden/>
          </w:rPr>
        </w:r>
        <w:r>
          <w:rPr>
            <w:noProof/>
            <w:webHidden/>
          </w:rPr>
          <w:fldChar w:fldCharType="separate"/>
        </w:r>
        <w:r>
          <w:rPr>
            <w:noProof/>
            <w:webHidden/>
          </w:rPr>
          <w:t>11</w:t>
        </w:r>
        <w:r>
          <w:rPr>
            <w:noProof/>
            <w:webHidden/>
          </w:rPr>
          <w:fldChar w:fldCharType="end"/>
        </w:r>
      </w:hyperlink>
    </w:p>
    <w:p w14:paraId="482BC4EE" w14:textId="4AE319C2" w:rsidR="00195E9B" w:rsidRDefault="00711D2F" w:rsidP="005444E9">
      <w:pPr>
        <w:spacing w:before="120" w:after="120" w:line="276" w:lineRule="auto"/>
        <w:rPr>
          <w:rFonts w:ascii="Verdana" w:hAnsi="Verdana" w:cs="Arial"/>
          <w:b/>
          <w:bCs/>
          <w:sz w:val="20"/>
          <w:szCs w:val="20"/>
        </w:rPr>
      </w:pPr>
      <w:r>
        <w:rPr>
          <w:rFonts w:ascii="Verdana" w:hAnsi="Verdana" w:cs="Arial"/>
          <w:b/>
          <w:bCs/>
          <w:sz w:val="20"/>
          <w:szCs w:val="20"/>
        </w:rPr>
        <w:fldChar w:fldCharType="end"/>
      </w:r>
    </w:p>
    <w:p w14:paraId="6BA2C02E" w14:textId="74ED2184" w:rsidR="00DB6E61" w:rsidRPr="00DB6E61" w:rsidRDefault="00DB6E61" w:rsidP="005444E9">
      <w:pPr>
        <w:spacing w:before="120" w:after="120" w:line="276" w:lineRule="auto"/>
        <w:rPr>
          <w:rFonts w:ascii="Verdana" w:hAnsi="Verdana" w:cs="Arial"/>
          <w:b/>
          <w:bCs/>
          <w:sz w:val="20"/>
          <w:szCs w:val="20"/>
        </w:rPr>
      </w:pPr>
      <w:r w:rsidRPr="00DB6E61">
        <w:rPr>
          <w:rFonts w:ascii="Verdana" w:hAnsi="Verdana" w:cs="Arial"/>
          <w:b/>
          <w:bCs/>
          <w:sz w:val="20"/>
          <w:szCs w:val="20"/>
        </w:rPr>
        <w:br w:type="page"/>
      </w:r>
    </w:p>
    <w:p w14:paraId="7314537E" w14:textId="0DBF8CF0" w:rsidR="00700FF4" w:rsidRPr="00907A0F" w:rsidRDefault="00447CA9" w:rsidP="005444E9">
      <w:pPr>
        <w:pStyle w:val="Titre1"/>
      </w:pPr>
      <w:bookmarkStart w:id="0" w:name="_Toc131489867"/>
      <w:r w:rsidRPr="00907A0F">
        <w:lastRenderedPageBreak/>
        <w:t>Définition</w:t>
      </w:r>
      <w:r w:rsidR="00D04DC9" w:rsidRPr="00907A0F">
        <w:t>s juridique</w:t>
      </w:r>
      <w:r w:rsidR="00700FF4" w:rsidRPr="00907A0F">
        <w:t>s</w:t>
      </w:r>
      <w:bookmarkEnd w:id="0"/>
    </w:p>
    <w:p w14:paraId="402C4835" w14:textId="45545D90" w:rsidR="00D04DC9" w:rsidRPr="00DB6E61" w:rsidRDefault="00D04DC9" w:rsidP="005444E9">
      <w:pPr>
        <w:pStyle w:val="Paragraphedeliste"/>
        <w:numPr>
          <w:ilvl w:val="0"/>
          <w:numId w:val="13"/>
        </w:numPr>
        <w:spacing w:before="120" w:after="120" w:line="276" w:lineRule="auto"/>
        <w:jc w:val="both"/>
        <w:rPr>
          <w:rFonts w:ascii="Verdana" w:hAnsi="Verdana" w:cs="Arial"/>
          <w:sz w:val="20"/>
          <w:szCs w:val="20"/>
        </w:rPr>
      </w:pPr>
      <w:r w:rsidRPr="00DB6E61">
        <w:rPr>
          <w:rFonts w:ascii="Verdana" w:hAnsi="Verdana" w:cs="Arial"/>
          <w:b/>
          <w:bCs/>
          <w:sz w:val="20"/>
          <w:szCs w:val="20"/>
        </w:rPr>
        <w:t>Maladie transmissible</w:t>
      </w:r>
      <w:r w:rsidRPr="00DB6E61">
        <w:rPr>
          <w:rFonts w:ascii="Verdana" w:hAnsi="Verdana" w:cs="Arial"/>
          <w:sz w:val="20"/>
          <w:szCs w:val="20"/>
        </w:rPr>
        <w:t> : « une maladie causée par des agents pathogènes ou leurs produits toxiques et pouvant être transmises à l’être humain » (</w:t>
      </w:r>
      <w:hyperlink r:id="rId10" w:anchor="art_3" w:history="1">
        <w:r w:rsidRPr="005D4B9D">
          <w:rPr>
            <w:rStyle w:val="Lienhypertexte"/>
            <w:rFonts w:ascii="Verdana" w:hAnsi="Verdana" w:cs="Arial"/>
            <w:sz w:val="20"/>
            <w:szCs w:val="20"/>
          </w:rPr>
          <w:t xml:space="preserve">art. 3 let. </w:t>
        </w:r>
        <w:r w:rsidR="00AB6153" w:rsidRPr="005D4B9D">
          <w:rPr>
            <w:rStyle w:val="Lienhypertexte"/>
            <w:rFonts w:ascii="Verdana" w:hAnsi="Verdana" w:cs="Arial"/>
            <w:sz w:val="20"/>
            <w:szCs w:val="20"/>
          </w:rPr>
          <w:t>a</w:t>
        </w:r>
        <w:r w:rsidRPr="005D4B9D">
          <w:rPr>
            <w:rStyle w:val="Lienhypertexte"/>
            <w:rFonts w:ascii="Verdana" w:hAnsi="Verdana" w:cs="Arial"/>
            <w:sz w:val="20"/>
            <w:szCs w:val="20"/>
          </w:rPr>
          <w:t xml:space="preserve"> </w:t>
        </w:r>
        <w:proofErr w:type="spellStart"/>
        <w:r w:rsidRPr="005D4B9D">
          <w:rPr>
            <w:rStyle w:val="Lienhypertexte"/>
            <w:rFonts w:ascii="Verdana" w:hAnsi="Verdana" w:cs="Arial"/>
            <w:sz w:val="20"/>
            <w:szCs w:val="20"/>
          </w:rPr>
          <w:t>LEp</w:t>
        </w:r>
        <w:proofErr w:type="spellEnd"/>
      </w:hyperlink>
      <w:r w:rsidRPr="00DB6E61">
        <w:rPr>
          <w:rFonts w:ascii="Verdana" w:hAnsi="Verdana" w:cs="Arial"/>
          <w:sz w:val="20"/>
          <w:szCs w:val="20"/>
        </w:rPr>
        <w:t>)</w:t>
      </w:r>
    </w:p>
    <w:p w14:paraId="1FED425A" w14:textId="401BCC9D" w:rsidR="00AB6153" w:rsidRPr="00DB6E61" w:rsidRDefault="00AB6153" w:rsidP="005444E9">
      <w:pPr>
        <w:pStyle w:val="Paragraphedeliste"/>
        <w:spacing w:before="120" w:after="120" w:line="276" w:lineRule="auto"/>
        <w:ind w:left="360"/>
        <w:jc w:val="both"/>
        <w:rPr>
          <w:rFonts w:ascii="Verdana" w:hAnsi="Verdana" w:cs="Arial"/>
          <w:sz w:val="20"/>
          <w:szCs w:val="20"/>
        </w:rPr>
      </w:pPr>
      <w:r w:rsidRPr="00DB6E61">
        <w:rPr>
          <w:rFonts w:ascii="Verdana" w:hAnsi="Verdana" w:cs="Arial"/>
          <w:b/>
          <w:bCs/>
          <w:sz w:val="20"/>
          <w:szCs w:val="20"/>
        </w:rPr>
        <w:t>Agent pathogène</w:t>
      </w:r>
      <w:r w:rsidRPr="00DB6E61">
        <w:rPr>
          <w:rFonts w:ascii="Verdana" w:hAnsi="Verdana" w:cs="Arial"/>
          <w:sz w:val="20"/>
          <w:szCs w:val="20"/>
        </w:rPr>
        <w:t> : « organisme naturel ou génétiquement modifié, une substance pouvant provoquer ou aggraver une maladie transmissible » (</w:t>
      </w:r>
      <w:hyperlink r:id="rId11" w:anchor="art_3" w:history="1">
        <w:r w:rsidRPr="005D4B9D">
          <w:rPr>
            <w:rStyle w:val="Lienhypertexte"/>
            <w:rFonts w:ascii="Verdana" w:hAnsi="Verdana" w:cs="Arial"/>
            <w:sz w:val="20"/>
            <w:szCs w:val="20"/>
          </w:rPr>
          <w:t xml:space="preserve">voir art. 3 let. c </w:t>
        </w:r>
        <w:proofErr w:type="spellStart"/>
        <w:r w:rsidRPr="005D4B9D">
          <w:rPr>
            <w:rStyle w:val="Lienhypertexte"/>
            <w:rFonts w:ascii="Verdana" w:hAnsi="Verdana" w:cs="Arial"/>
            <w:sz w:val="20"/>
            <w:szCs w:val="20"/>
          </w:rPr>
          <w:t>LEp</w:t>
        </w:r>
        <w:proofErr w:type="spellEnd"/>
      </w:hyperlink>
      <w:r w:rsidRPr="00DB6E61">
        <w:rPr>
          <w:rFonts w:ascii="Verdana" w:hAnsi="Verdana" w:cs="Arial"/>
          <w:sz w:val="20"/>
          <w:szCs w:val="20"/>
        </w:rPr>
        <w:t xml:space="preserve">) </w:t>
      </w:r>
    </w:p>
    <w:p w14:paraId="33126937" w14:textId="577D9754" w:rsidR="00F419B7" w:rsidRPr="00DB6E61" w:rsidRDefault="00D04DC9" w:rsidP="005444E9">
      <w:pPr>
        <w:pStyle w:val="Paragraphedeliste"/>
        <w:numPr>
          <w:ilvl w:val="0"/>
          <w:numId w:val="13"/>
        </w:numPr>
        <w:spacing w:before="120" w:after="120" w:line="276" w:lineRule="auto"/>
        <w:jc w:val="both"/>
        <w:rPr>
          <w:rFonts w:ascii="Verdana" w:hAnsi="Verdana" w:cs="Arial"/>
          <w:sz w:val="20"/>
          <w:szCs w:val="20"/>
        </w:rPr>
      </w:pPr>
      <w:r w:rsidRPr="00DB6E61">
        <w:rPr>
          <w:rFonts w:ascii="Verdana" w:hAnsi="Verdana" w:cs="Arial"/>
          <w:b/>
          <w:bCs/>
          <w:sz w:val="20"/>
          <w:szCs w:val="20"/>
        </w:rPr>
        <w:t>Epidémie</w:t>
      </w:r>
      <w:r w:rsidRPr="00DB6E61">
        <w:rPr>
          <w:rFonts w:ascii="Verdana" w:hAnsi="Verdana" w:cs="Arial"/>
          <w:sz w:val="20"/>
          <w:szCs w:val="20"/>
        </w:rPr>
        <w:t xml:space="preserve"> : « augmentation inhabituelle d’une infection dans une </w:t>
      </w:r>
      <w:r w:rsidR="00D02758" w:rsidRPr="00DB6E61">
        <w:rPr>
          <w:rFonts w:ascii="Verdana" w:hAnsi="Verdana" w:cs="Arial"/>
          <w:sz w:val="20"/>
          <w:szCs w:val="20"/>
        </w:rPr>
        <w:t>population, généralement d’une extension géographique et temporelle limitée »</w:t>
      </w:r>
      <w:r w:rsidRPr="00DB6E61">
        <w:rPr>
          <w:rFonts w:ascii="Verdana" w:hAnsi="Verdana" w:cs="Arial"/>
          <w:sz w:val="20"/>
          <w:szCs w:val="20"/>
        </w:rPr>
        <w:t xml:space="preserve"> </w:t>
      </w:r>
      <w:r w:rsidR="00D02758" w:rsidRPr="00DB6E61">
        <w:rPr>
          <w:rFonts w:ascii="Verdana" w:hAnsi="Verdana" w:cs="Arial"/>
          <w:sz w:val="20"/>
          <w:szCs w:val="20"/>
        </w:rPr>
        <w:t>(FF 2011 291, 430)</w:t>
      </w:r>
    </w:p>
    <w:p w14:paraId="59C3F318" w14:textId="3A3B1704" w:rsidR="00D02758" w:rsidRPr="00DB6E61" w:rsidRDefault="00D02758" w:rsidP="005444E9">
      <w:pPr>
        <w:pStyle w:val="Paragraphedeliste"/>
        <w:numPr>
          <w:ilvl w:val="0"/>
          <w:numId w:val="13"/>
        </w:numPr>
        <w:spacing w:before="120" w:after="120" w:line="276" w:lineRule="auto"/>
        <w:jc w:val="both"/>
        <w:rPr>
          <w:rFonts w:ascii="Verdana" w:hAnsi="Verdana" w:cs="Arial"/>
          <w:sz w:val="20"/>
          <w:szCs w:val="20"/>
        </w:rPr>
      </w:pPr>
      <w:r w:rsidRPr="00DB6E61">
        <w:rPr>
          <w:rFonts w:ascii="Verdana" w:hAnsi="Verdana" w:cs="Arial"/>
          <w:b/>
          <w:bCs/>
          <w:sz w:val="20"/>
          <w:szCs w:val="20"/>
        </w:rPr>
        <w:t>Pandémie</w:t>
      </w:r>
      <w:r w:rsidRPr="00DB6E61">
        <w:rPr>
          <w:rFonts w:ascii="Verdana" w:hAnsi="Verdana" w:cs="Arial"/>
          <w:sz w:val="20"/>
          <w:szCs w:val="20"/>
        </w:rPr>
        <w:t xml:space="preserve"> : « multiplication massive de cas d’une maladie infectieuse, limitée dans le temps, sur le plan mondial » (FF 2011 291, 431) </w:t>
      </w:r>
    </w:p>
    <w:p w14:paraId="5BB567A9" w14:textId="015DAFAA" w:rsidR="007B211E" w:rsidRPr="00DB6E61" w:rsidRDefault="00700FF4" w:rsidP="003A385F">
      <w:pPr>
        <w:pStyle w:val="Titre1"/>
      </w:pPr>
      <w:bookmarkStart w:id="1" w:name="_Toc131489868"/>
      <w:r w:rsidRPr="00DB6E61">
        <w:t>Rappel historique (</w:t>
      </w:r>
      <w:r w:rsidR="007B211E" w:rsidRPr="00DB6E61">
        <w:t>plan international</w:t>
      </w:r>
      <w:r w:rsidRPr="00DB6E61">
        <w:t>)</w:t>
      </w:r>
      <w:bookmarkEnd w:id="1"/>
      <w:r w:rsidR="007B211E" w:rsidRPr="00DB6E61">
        <w:t> </w:t>
      </w:r>
    </w:p>
    <w:p w14:paraId="388B7561" w14:textId="1B08DE94" w:rsidR="00700FF4" w:rsidRPr="00DB6E61" w:rsidRDefault="00330507" w:rsidP="005444E9">
      <w:pPr>
        <w:spacing w:before="120" w:after="120" w:line="276" w:lineRule="auto"/>
        <w:jc w:val="both"/>
        <w:rPr>
          <w:rStyle w:val="hgkelc"/>
          <w:rFonts w:ascii="Verdana" w:hAnsi="Verdana" w:cs="Arial"/>
          <w:sz w:val="20"/>
          <w:szCs w:val="20"/>
        </w:rPr>
      </w:pPr>
      <w:r w:rsidRPr="00DB6E61">
        <w:rPr>
          <w:rStyle w:val="hgkelc"/>
          <w:rFonts w:ascii="Verdana" w:hAnsi="Verdana" w:cs="Arial"/>
          <w:sz w:val="20"/>
          <w:szCs w:val="20"/>
        </w:rPr>
        <w:t xml:space="preserve">En 1951, les </w:t>
      </w:r>
      <w:r w:rsidR="00700FF4" w:rsidRPr="00DB6E61">
        <w:rPr>
          <w:rStyle w:val="hgkelc"/>
          <w:rFonts w:ascii="Verdana" w:hAnsi="Verdana" w:cs="Arial"/>
          <w:sz w:val="20"/>
          <w:szCs w:val="20"/>
        </w:rPr>
        <w:t>E</w:t>
      </w:r>
      <w:r w:rsidRPr="00DB6E61">
        <w:rPr>
          <w:rStyle w:val="hgkelc"/>
          <w:rFonts w:ascii="Verdana" w:hAnsi="Verdana" w:cs="Arial"/>
          <w:sz w:val="20"/>
          <w:szCs w:val="20"/>
        </w:rPr>
        <w:t xml:space="preserve">tats-membres de l'OMS adoptent un premier </w:t>
      </w:r>
      <w:r w:rsidRPr="00DB6E61">
        <w:rPr>
          <w:rStyle w:val="hgkelc"/>
          <w:rFonts w:ascii="Verdana" w:hAnsi="Verdana" w:cs="Arial"/>
          <w:b/>
          <w:bCs/>
          <w:sz w:val="20"/>
          <w:szCs w:val="20"/>
        </w:rPr>
        <w:t>Règlement sanitaire international (RSI)</w:t>
      </w:r>
      <w:r w:rsidR="00700FF4" w:rsidRPr="00DB6E61">
        <w:rPr>
          <w:rStyle w:val="hgkelc"/>
          <w:rFonts w:ascii="Verdana" w:hAnsi="Verdana" w:cs="Arial"/>
          <w:b/>
          <w:bCs/>
          <w:sz w:val="20"/>
          <w:szCs w:val="20"/>
        </w:rPr>
        <w:t xml:space="preserve">, </w:t>
      </w:r>
      <w:r w:rsidR="00D01A84" w:rsidRPr="00DB6E61">
        <w:rPr>
          <w:rStyle w:val="hgkelc"/>
          <w:rFonts w:ascii="Verdana" w:hAnsi="Verdana" w:cs="Arial"/>
          <w:b/>
          <w:bCs/>
          <w:sz w:val="20"/>
          <w:szCs w:val="20"/>
        </w:rPr>
        <w:t>contraignant</w:t>
      </w:r>
      <w:r w:rsidRPr="00DB6E61">
        <w:rPr>
          <w:rStyle w:val="hgkelc"/>
          <w:rFonts w:ascii="Verdana" w:hAnsi="Verdana" w:cs="Arial"/>
          <w:sz w:val="20"/>
          <w:szCs w:val="20"/>
        </w:rPr>
        <w:t xml:space="preserve">. </w:t>
      </w:r>
    </w:p>
    <w:p w14:paraId="263D9162" w14:textId="5922EF64" w:rsidR="00330507" w:rsidRPr="00DB6E61" w:rsidRDefault="00330507" w:rsidP="005444E9">
      <w:pPr>
        <w:spacing w:before="120" w:after="120" w:line="276" w:lineRule="auto"/>
        <w:jc w:val="both"/>
        <w:rPr>
          <w:rStyle w:val="hgkelc"/>
          <w:rFonts w:ascii="Verdana" w:hAnsi="Verdana" w:cs="Arial"/>
          <w:sz w:val="20"/>
          <w:szCs w:val="20"/>
        </w:rPr>
      </w:pPr>
      <w:r w:rsidRPr="00DB6E61">
        <w:rPr>
          <w:rStyle w:val="hgkelc"/>
          <w:rFonts w:ascii="Verdana" w:hAnsi="Verdana" w:cs="Arial"/>
          <w:sz w:val="20"/>
          <w:szCs w:val="20"/>
        </w:rPr>
        <w:t>Le RSI visait alors principalement six maladies : choléra, peste, fièvre jaune, variole, fièvre récurrente et typhus</w:t>
      </w:r>
      <w:r w:rsidR="00FB74BB" w:rsidRPr="00DB6E61">
        <w:rPr>
          <w:rStyle w:val="hgkelc"/>
          <w:rFonts w:ascii="Verdana" w:hAnsi="Verdana" w:cs="Arial"/>
          <w:sz w:val="20"/>
          <w:szCs w:val="20"/>
        </w:rPr>
        <w:t>. Ce fut un échec.</w:t>
      </w:r>
    </w:p>
    <w:p w14:paraId="7839D0C6" w14:textId="0F385173" w:rsidR="00330507" w:rsidRPr="00DB6E61" w:rsidRDefault="00330507" w:rsidP="005444E9">
      <w:pPr>
        <w:spacing w:before="120" w:after="120" w:line="276" w:lineRule="auto"/>
        <w:jc w:val="both"/>
        <w:rPr>
          <w:rFonts w:ascii="Verdana" w:hAnsi="Verdana" w:cs="Arial"/>
          <w:sz w:val="20"/>
          <w:szCs w:val="20"/>
        </w:rPr>
      </w:pPr>
      <w:r w:rsidRPr="00DB6E61">
        <w:rPr>
          <w:rFonts w:ascii="Verdana" w:hAnsi="Verdana" w:cs="Arial"/>
          <w:b/>
          <w:bCs/>
          <w:sz w:val="20"/>
          <w:szCs w:val="20"/>
        </w:rPr>
        <w:t>Mandat</w:t>
      </w:r>
      <w:r w:rsidR="00BC2C15" w:rsidRPr="00DB6E61">
        <w:rPr>
          <w:rFonts w:ascii="Verdana" w:hAnsi="Verdana" w:cs="Arial"/>
          <w:b/>
          <w:bCs/>
          <w:sz w:val="20"/>
          <w:szCs w:val="20"/>
        </w:rPr>
        <w:t>s</w:t>
      </w:r>
      <w:r w:rsidRPr="00DB6E61">
        <w:rPr>
          <w:rFonts w:ascii="Verdana" w:hAnsi="Verdana" w:cs="Arial"/>
          <w:b/>
          <w:bCs/>
          <w:sz w:val="20"/>
          <w:szCs w:val="20"/>
        </w:rPr>
        <w:t xml:space="preserve"> OMS </w:t>
      </w:r>
      <w:r w:rsidR="00F32577" w:rsidRPr="00DB6E61">
        <w:rPr>
          <w:rFonts w:ascii="Verdana" w:hAnsi="Verdana" w:cs="Arial"/>
          <w:sz w:val="20"/>
          <w:szCs w:val="20"/>
        </w:rPr>
        <w:t xml:space="preserve">(196 Etats-membres) </w:t>
      </w:r>
      <w:r w:rsidRPr="00DB6E61">
        <w:rPr>
          <w:rFonts w:ascii="Verdana" w:hAnsi="Verdana" w:cs="Arial"/>
          <w:b/>
          <w:bCs/>
          <w:sz w:val="20"/>
          <w:szCs w:val="20"/>
        </w:rPr>
        <w:t>en matière d’épidémie</w:t>
      </w:r>
      <w:r w:rsidR="00BC2C15" w:rsidRPr="00DB6E61">
        <w:rPr>
          <w:rFonts w:ascii="Verdana" w:hAnsi="Verdana" w:cs="Arial"/>
          <w:sz w:val="20"/>
          <w:szCs w:val="20"/>
        </w:rPr>
        <w:t>, notamment</w:t>
      </w:r>
    </w:p>
    <w:p w14:paraId="2E6A1D39" w14:textId="77777777" w:rsidR="00F32577" w:rsidRPr="00DB6E61" w:rsidRDefault="00330507" w:rsidP="005444E9">
      <w:pPr>
        <w:pStyle w:val="Paragraphedeliste"/>
        <w:numPr>
          <w:ilvl w:val="0"/>
          <w:numId w:val="4"/>
        </w:numPr>
        <w:spacing w:before="120" w:after="120" w:line="276" w:lineRule="auto"/>
        <w:jc w:val="both"/>
        <w:rPr>
          <w:rFonts w:ascii="Verdana" w:hAnsi="Verdana" w:cs="Arial"/>
          <w:sz w:val="20"/>
          <w:szCs w:val="20"/>
        </w:rPr>
      </w:pPr>
      <w:r w:rsidRPr="00DB6E61">
        <w:rPr>
          <w:rFonts w:ascii="Verdana" w:hAnsi="Verdana" w:cs="Arial"/>
          <w:sz w:val="20"/>
          <w:szCs w:val="20"/>
        </w:rPr>
        <w:t>Autorité directrice</w:t>
      </w:r>
    </w:p>
    <w:p w14:paraId="142FCB32" w14:textId="77777777" w:rsidR="00F32577" w:rsidRPr="00DB6E61" w:rsidRDefault="00330507" w:rsidP="005444E9">
      <w:pPr>
        <w:pStyle w:val="Paragraphedeliste"/>
        <w:numPr>
          <w:ilvl w:val="0"/>
          <w:numId w:val="4"/>
        </w:numPr>
        <w:spacing w:before="120" w:after="120" w:line="276" w:lineRule="auto"/>
        <w:jc w:val="both"/>
        <w:rPr>
          <w:rFonts w:ascii="Verdana" w:hAnsi="Verdana" w:cs="Arial"/>
          <w:sz w:val="20"/>
          <w:szCs w:val="20"/>
        </w:rPr>
      </w:pPr>
      <w:r w:rsidRPr="00DB6E61">
        <w:rPr>
          <w:rFonts w:ascii="Verdana" w:hAnsi="Verdana" w:cs="Arial"/>
          <w:sz w:val="20"/>
          <w:szCs w:val="20"/>
        </w:rPr>
        <w:t>Proposition de normes et standards et surveillance de leur mise en œuvre</w:t>
      </w:r>
    </w:p>
    <w:p w14:paraId="27DB27DD" w14:textId="1D95030F" w:rsidR="00F32577" w:rsidRPr="00DB6E61" w:rsidRDefault="00330507" w:rsidP="005444E9">
      <w:pPr>
        <w:pStyle w:val="Paragraphedeliste"/>
        <w:numPr>
          <w:ilvl w:val="0"/>
          <w:numId w:val="4"/>
        </w:numPr>
        <w:spacing w:before="120" w:after="120" w:line="276" w:lineRule="auto"/>
        <w:jc w:val="both"/>
        <w:rPr>
          <w:rFonts w:ascii="Verdana" w:hAnsi="Verdana" w:cs="Arial"/>
          <w:sz w:val="20"/>
          <w:szCs w:val="20"/>
        </w:rPr>
      </w:pPr>
      <w:r w:rsidRPr="00DB6E61">
        <w:rPr>
          <w:rFonts w:ascii="Verdana" w:hAnsi="Verdana" w:cs="Arial"/>
          <w:sz w:val="20"/>
          <w:szCs w:val="20"/>
        </w:rPr>
        <w:t>Recommandations conformes à l’éthique et à la scienc</w:t>
      </w:r>
      <w:r w:rsidR="00F32577" w:rsidRPr="00DB6E61">
        <w:rPr>
          <w:rFonts w:ascii="Verdana" w:hAnsi="Verdana" w:cs="Arial"/>
          <w:sz w:val="20"/>
          <w:szCs w:val="20"/>
        </w:rPr>
        <w:t>e</w:t>
      </w:r>
    </w:p>
    <w:p w14:paraId="3F14846F" w14:textId="6530E09C" w:rsidR="009113AB" w:rsidRPr="00DB6E61" w:rsidRDefault="009113AB" w:rsidP="005444E9">
      <w:pPr>
        <w:pStyle w:val="Paragraphedeliste"/>
        <w:numPr>
          <w:ilvl w:val="0"/>
          <w:numId w:val="4"/>
        </w:numPr>
        <w:spacing w:before="120" w:after="120" w:line="276" w:lineRule="auto"/>
        <w:jc w:val="both"/>
        <w:rPr>
          <w:rFonts w:ascii="Verdana" w:hAnsi="Verdana" w:cs="Arial"/>
          <w:sz w:val="20"/>
          <w:szCs w:val="20"/>
        </w:rPr>
      </w:pPr>
      <w:r w:rsidRPr="00DB6E61">
        <w:rPr>
          <w:rFonts w:ascii="Verdana" w:hAnsi="Verdana" w:cs="Arial"/>
          <w:sz w:val="20"/>
          <w:szCs w:val="20"/>
        </w:rPr>
        <w:t xml:space="preserve">Pas de compétence pour sanctionner les Etats membres même en situation de violations de traités contraignants. </w:t>
      </w:r>
      <w:r w:rsidR="001C2264" w:rsidRPr="00DB6E61">
        <w:rPr>
          <w:rFonts w:ascii="Verdana" w:hAnsi="Verdana" w:cs="Arial"/>
          <w:sz w:val="20"/>
          <w:szCs w:val="20"/>
        </w:rPr>
        <w:t>L’OMS adopte une stratégie pour dissuader les Etats d’agir en violation de ses recommandation</w:t>
      </w:r>
      <w:r w:rsidR="00606AE9" w:rsidRPr="00DB6E61">
        <w:rPr>
          <w:rFonts w:ascii="Verdana" w:hAnsi="Verdana" w:cs="Arial"/>
          <w:sz w:val="20"/>
          <w:szCs w:val="20"/>
        </w:rPr>
        <w:t>s, devant trouver des moyens pour convaincre les Etats d’agir conformément aux dispositions du RSI 2005.</w:t>
      </w:r>
    </w:p>
    <w:p w14:paraId="4536ECFA" w14:textId="4FE8F6C6" w:rsidR="00BC2C15" w:rsidRPr="00DB6E61" w:rsidRDefault="00BC2C15" w:rsidP="005444E9">
      <w:pPr>
        <w:spacing w:before="120" w:after="120" w:line="276" w:lineRule="auto"/>
        <w:jc w:val="both"/>
        <w:rPr>
          <w:rFonts w:ascii="Verdana" w:hAnsi="Verdana" w:cs="Arial"/>
          <w:sz w:val="20"/>
          <w:szCs w:val="20"/>
        </w:rPr>
      </w:pPr>
      <w:r w:rsidRPr="00DB6E61">
        <w:rPr>
          <w:rFonts w:ascii="Verdana" w:hAnsi="Verdana" w:cs="Arial"/>
          <w:b/>
          <w:bCs/>
          <w:sz w:val="20"/>
          <w:szCs w:val="20"/>
        </w:rPr>
        <w:t xml:space="preserve">Résolution 1308 du Conseil de sécurité des Nations Unies </w:t>
      </w:r>
      <w:r w:rsidRPr="00DB6E61">
        <w:rPr>
          <w:rFonts w:ascii="Verdana" w:hAnsi="Verdana" w:cs="Arial"/>
          <w:sz w:val="20"/>
          <w:szCs w:val="20"/>
        </w:rPr>
        <w:t>(2000)</w:t>
      </w:r>
    </w:p>
    <w:p w14:paraId="3DC4C9A2" w14:textId="71FA6E1E" w:rsidR="00FB74BB" w:rsidRPr="00DB6E61" w:rsidRDefault="00441250" w:rsidP="005444E9">
      <w:pPr>
        <w:spacing w:before="120" w:after="120" w:line="276" w:lineRule="auto"/>
        <w:jc w:val="both"/>
        <w:rPr>
          <w:rFonts w:ascii="Verdana" w:hAnsi="Verdana" w:cs="Arial"/>
          <w:b/>
          <w:bCs/>
          <w:sz w:val="20"/>
          <w:szCs w:val="20"/>
        </w:rPr>
      </w:pPr>
      <w:r w:rsidRPr="00DB6E61">
        <w:rPr>
          <w:rFonts w:ascii="Verdana" w:hAnsi="Verdana" w:cs="Arial"/>
          <w:sz w:val="20"/>
          <w:szCs w:val="20"/>
        </w:rPr>
        <w:t xml:space="preserve">Le </w:t>
      </w:r>
      <w:r w:rsidR="00FB74BB" w:rsidRPr="00DB6E61">
        <w:rPr>
          <w:rFonts w:ascii="Verdana" w:hAnsi="Verdana" w:cs="Arial"/>
          <w:b/>
          <w:bCs/>
          <w:sz w:val="20"/>
          <w:szCs w:val="20"/>
        </w:rPr>
        <w:t>R</w:t>
      </w:r>
      <w:r w:rsidRPr="00DB6E61">
        <w:rPr>
          <w:rFonts w:ascii="Verdana" w:hAnsi="Verdana" w:cs="Arial"/>
          <w:b/>
          <w:bCs/>
          <w:sz w:val="20"/>
          <w:szCs w:val="20"/>
        </w:rPr>
        <w:t xml:space="preserve">èglement sanitaire international de </w:t>
      </w:r>
      <w:r w:rsidR="00FB74BB" w:rsidRPr="00DB6E61">
        <w:rPr>
          <w:rFonts w:ascii="Verdana" w:hAnsi="Verdana" w:cs="Arial"/>
          <w:b/>
          <w:bCs/>
          <w:sz w:val="20"/>
          <w:szCs w:val="20"/>
        </w:rPr>
        <w:t>2005</w:t>
      </w:r>
      <w:r w:rsidRPr="00DB6E61">
        <w:rPr>
          <w:rFonts w:ascii="Verdana" w:hAnsi="Verdana" w:cs="Arial"/>
          <w:b/>
          <w:bCs/>
          <w:sz w:val="20"/>
          <w:szCs w:val="20"/>
        </w:rPr>
        <w:t xml:space="preserve"> </w:t>
      </w:r>
      <w:r w:rsidR="00FB74BB" w:rsidRPr="00DB6E61">
        <w:rPr>
          <w:rFonts w:ascii="Verdana" w:hAnsi="Verdana" w:cs="Arial"/>
          <w:sz w:val="20"/>
          <w:szCs w:val="20"/>
        </w:rPr>
        <w:t xml:space="preserve">s’applique à tout type d’évènement (naturel, accidentel ou intentionnel). </w:t>
      </w:r>
    </w:p>
    <w:p w14:paraId="5FDE274E" w14:textId="73742E8B" w:rsidR="001B0CAA" w:rsidRPr="00DB6E61" w:rsidRDefault="001B0CAA" w:rsidP="005444E9">
      <w:pPr>
        <w:pStyle w:val="Paragraphedeliste"/>
        <w:numPr>
          <w:ilvl w:val="1"/>
          <w:numId w:val="4"/>
        </w:numPr>
        <w:spacing w:before="120" w:after="120" w:line="276" w:lineRule="auto"/>
        <w:jc w:val="both"/>
        <w:rPr>
          <w:rFonts w:ascii="Verdana" w:hAnsi="Verdana" w:cs="Arial"/>
          <w:sz w:val="20"/>
          <w:szCs w:val="20"/>
        </w:rPr>
      </w:pPr>
      <w:r w:rsidRPr="00DB6E61">
        <w:rPr>
          <w:rFonts w:ascii="Verdana" w:hAnsi="Verdana" w:cs="Arial"/>
          <w:sz w:val="20"/>
          <w:szCs w:val="20"/>
        </w:rPr>
        <w:t xml:space="preserve">Les Etats doivent notifier tout évènement de santé publique susceptible de constituer une urgence sanitaire de portée internationale </w:t>
      </w:r>
      <w:r w:rsidR="007361CA" w:rsidRPr="00DB6E61">
        <w:rPr>
          <w:rFonts w:ascii="Verdana" w:hAnsi="Verdana" w:cs="Arial"/>
          <w:sz w:val="20"/>
          <w:szCs w:val="20"/>
        </w:rPr>
        <w:t xml:space="preserve">(USPPI) </w:t>
      </w:r>
      <w:r w:rsidRPr="00DB6E61">
        <w:rPr>
          <w:rFonts w:ascii="Verdana" w:hAnsi="Verdana" w:cs="Arial"/>
          <w:sz w:val="20"/>
          <w:szCs w:val="20"/>
        </w:rPr>
        <w:t>(art. 6 du RSI</w:t>
      </w:r>
      <w:r w:rsidR="00D25C38" w:rsidRPr="00DB6E61">
        <w:rPr>
          <w:rFonts w:ascii="Verdana" w:hAnsi="Verdana" w:cs="Arial"/>
          <w:sz w:val="20"/>
          <w:szCs w:val="20"/>
        </w:rPr>
        <w:t xml:space="preserve"> </w:t>
      </w:r>
      <w:r w:rsidRPr="00DB6E61">
        <w:rPr>
          <w:rFonts w:ascii="Verdana" w:hAnsi="Verdana" w:cs="Arial"/>
          <w:sz w:val="20"/>
          <w:szCs w:val="20"/>
        </w:rPr>
        <w:t>(2005)</w:t>
      </w:r>
      <w:r w:rsidR="00A20885" w:rsidRPr="00DB6E61">
        <w:rPr>
          <w:rFonts w:ascii="Verdana" w:hAnsi="Verdana" w:cs="Arial"/>
          <w:sz w:val="20"/>
          <w:szCs w:val="20"/>
        </w:rPr>
        <w:t>.</w:t>
      </w:r>
      <w:r w:rsidRPr="00DB6E61">
        <w:rPr>
          <w:rFonts w:ascii="Verdana" w:hAnsi="Verdana" w:cs="Arial"/>
          <w:sz w:val="20"/>
          <w:szCs w:val="20"/>
        </w:rPr>
        <w:t xml:space="preserve"> Les Etats se servent d’un instrument d’aide à la décision de notification </w:t>
      </w:r>
    </w:p>
    <w:p w14:paraId="4B2A6EF9" w14:textId="77777777" w:rsidR="00A20885" w:rsidRPr="00DB6E61" w:rsidRDefault="00A20885" w:rsidP="005444E9">
      <w:pPr>
        <w:pStyle w:val="Paragraphedeliste"/>
        <w:spacing w:before="120" w:after="120" w:line="276" w:lineRule="auto"/>
        <w:ind w:left="1080"/>
        <w:jc w:val="both"/>
        <w:rPr>
          <w:rFonts w:ascii="Verdana" w:hAnsi="Verdana" w:cs="Arial"/>
          <w:sz w:val="20"/>
          <w:szCs w:val="20"/>
        </w:rPr>
      </w:pPr>
    </w:p>
    <w:p w14:paraId="28B164DB" w14:textId="2F42DCE7" w:rsidR="00BC2C15" w:rsidRPr="00DB6E61" w:rsidRDefault="008A1B41" w:rsidP="005444E9">
      <w:pPr>
        <w:pStyle w:val="Paragraphedeliste"/>
        <w:numPr>
          <w:ilvl w:val="1"/>
          <w:numId w:val="4"/>
        </w:numPr>
        <w:spacing w:before="120" w:after="120" w:line="276" w:lineRule="auto"/>
        <w:jc w:val="both"/>
        <w:rPr>
          <w:rFonts w:ascii="Verdana" w:hAnsi="Verdana" w:cs="Arial"/>
          <w:sz w:val="20"/>
          <w:szCs w:val="20"/>
        </w:rPr>
      </w:pPr>
      <w:r w:rsidRPr="00DB6E61">
        <w:rPr>
          <w:rFonts w:ascii="Verdana" w:hAnsi="Verdana" w:cs="Arial"/>
          <w:sz w:val="20"/>
          <w:szCs w:val="20"/>
        </w:rPr>
        <w:t>Si</w:t>
      </w:r>
      <w:r w:rsidR="00D25C38" w:rsidRPr="00DB6E61">
        <w:rPr>
          <w:rFonts w:ascii="Verdana" w:hAnsi="Verdana" w:cs="Arial"/>
          <w:sz w:val="20"/>
          <w:szCs w:val="20"/>
        </w:rPr>
        <w:t xml:space="preserve"> l’évènement est </w:t>
      </w:r>
      <w:r w:rsidRPr="00DB6E61">
        <w:rPr>
          <w:rFonts w:ascii="Verdana" w:hAnsi="Verdana" w:cs="Arial"/>
          <w:sz w:val="20"/>
          <w:szCs w:val="20"/>
        </w:rPr>
        <w:t xml:space="preserve">une USPPI, </w:t>
      </w:r>
      <w:r w:rsidR="00D25C38" w:rsidRPr="00DB6E61">
        <w:rPr>
          <w:rFonts w:ascii="Verdana" w:hAnsi="Verdana" w:cs="Arial"/>
          <w:sz w:val="20"/>
          <w:szCs w:val="20"/>
        </w:rPr>
        <w:t>l’OMS intervient pour mettre en place une action internationale coordonnée</w:t>
      </w:r>
      <w:r w:rsidR="007361CA" w:rsidRPr="00DB6E61">
        <w:rPr>
          <w:rFonts w:ascii="Verdana" w:hAnsi="Verdana" w:cs="Arial"/>
          <w:sz w:val="20"/>
          <w:szCs w:val="20"/>
        </w:rPr>
        <w:t>. S’il ne s’agit pas d’une USPPI, l’OMS</w:t>
      </w:r>
      <w:r w:rsidR="00D25C38" w:rsidRPr="00DB6E61">
        <w:rPr>
          <w:rFonts w:ascii="Verdana" w:hAnsi="Verdana" w:cs="Arial"/>
          <w:sz w:val="20"/>
          <w:szCs w:val="20"/>
        </w:rPr>
        <w:t xml:space="preserve"> se met à la disposition de l’Etat pour le soutenir dans les démarches liées à l’évènement.</w:t>
      </w:r>
    </w:p>
    <w:p w14:paraId="0B6B2685" w14:textId="77777777" w:rsidR="00BC2C15" w:rsidRPr="00DB6E61" w:rsidRDefault="00BC2C15" w:rsidP="005444E9">
      <w:pPr>
        <w:pStyle w:val="Paragraphedeliste"/>
        <w:spacing w:before="120" w:after="120" w:line="276" w:lineRule="auto"/>
        <w:ind w:left="1080"/>
        <w:jc w:val="both"/>
        <w:rPr>
          <w:rFonts w:ascii="Verdana" w:hAnsi="Verdana" w:cs="Arial"/>
          <w:sz w:val="20"/>
          <w:szCs w:val="20"/>
        </w:rPr>
      </w:pPr>
    </w:p>
    <w:p w14:paraId="748FEC9B" w14:textId="33E94521" w:rsidR="00A72D05" w:rsidRPr="00DB6E61" w:rsidRDefault="00F42DFF" w:rsidP="005444E9">
      <w:pPr>
        <w:pStyle w:val="Paragraphedeliste"/>
        <w:numPr>
          <w:ilvl w:val="1"/>
          <w:numId w:val="4"/>
        </w:numPr>
        <w:spacing w:before="120" w:after="120" w:line="276" w:lineRule="auto"/>
        <w:jc w:val="both"/>
        <w:rPr>
          <w:rFonts w:ascii="Verdana" w:hAnsi="Verdana" w:cs="Arial"/>
          <w:sz w:val="20"/>
          <w:szCs w:val="20"/>
        </w:rPr>
      </w:pPr>
      <w:r w:rsidRPr="00DB6E61">
        <w:rPr>
          <w:rFonts w:ascii="Verdana" w:hAnsi="Verdana" w:cs="Arial"/>
          <w:sz w:val="20"/>
          <w:szCs w:val="20"/>
        </w:rPr>
        <w:t xml:space="preserve">En cas de pandémie, l’OMS intervient de la même manière, sur la base légale du </w:t>
      </w:r>
      <w:r w:rsidR="00A240CC" w:rsidRPr="00DB6E61">
        <w:rPr>
          <w:rFonts w:ascii="Verdana" w:hAnsi="Verdana" w:cs="Arial"/>
          <w:sz w:val="20"/>
          <w:szCs w:val="20"/>
        </w:rPr>
        <w:t>RSI</w:t>
      </w:r>
      <w:r w:rsidR="00471814" w:rsidRPr="00DB6E61">
        <w:rPr>
          <w:rFonts w:ascii="Verdana" w:hAnsi="Verdana" w:cs="Arial"/>
          <w:sz w:val="20"/>
          <w:szCs w:val="20"/>
        </w:rPr>
        <w:t xml:space="preserve"> (2005), mais également en mettant en place ses recommandations sur la planification pandémique. La dimension de l’évènement devient mondiale</w:t>
      </w:r>
      <w:r w:rsidR="00FC6DBB" w:rsidRPr="00DB6E61">
        <w:rPr>
          <w:rFonts w:ascii="Verdana" w:hAnsi="Verdana" w:cs="Arial"/>
          <w:sz w:val="20"/>
          <w:szCs w:val="20"/>
        </w:rPr>
        <w:t>.</w:t>
      </w:r>
    </w:p>
    <w:p w14:paraId="170DD4D0" w14:textId="191128C7" w:rsidR="00BC2C15" w:rsidRPr="00DB6E61" w:rsidRDefault="00BC2C15" w:rsidP="005444E9">
      <w:pPr>
        <w:pStyle w:val="Paragraphedeliste"/>
        <w:spacing w:before="120" w:after="120" w:line="276" w:lineRule="auto"/>
        <w:ind w:left="1080"/>
        <w:jc w:val="both"/>
        <w:rPr>
          <w:rFonts w:ascii="Verdana" w:hAnsi="Verdana" w:cs="Arial"/>
          <w:sz w:val="20"/>
          <w:szCs w:val="20"/>
        </w:rPr>
      </w:pPr>
      <w:r w:rsidRPr="00DB6E61">
        <w:rPr>
          <w:rFonts w:ascii="Verdana" w:hAnsi="Verdana" w:cs="Arial"/>
          <w:sz w:val="20"/>
          <w:szCs w:val="20"/>
        </w:rPr>
        <w:t xml:space="preserve">Quatre critères, l’événement étant notifié lorsque deux sont remplis : </w:t>
      </w:r>
    </w:p>
    <w:p w14:paraId="1930DB74" w14:textId="77777777" w:rsidR="00606AE9" w:rsidRPr="00DB6E61" w:rsidRDefault="00BC2C15" w:rsidP="005444E9">
      <w:pPr>
        <w:pStyle w:val="Paragraphedeliste"/>
        <w:numPr>
          <w:ilvl w:val="2"/>
          <w:numId w:val="4"/>
        </w:numPr>
        <w:spacing w:before="120" w:after="120" w:line="276" w:lineRule="auto"/>
        <w:jc w:val="both"/>
        <w:rPr>
          <w:rFonts w:ascii="Verdana" w:hAnsi="Verdana" w:cs="Arial"/>
          <w:sz w:val="20"/>
          <w:szCs w:val="20"/>
        </w:rPr>
      </w:pPr>
      <w:r w:rsidRPr="00DB6E61">
        <w:rPr>
          <w:rFonts w:ascii="Verdana" w:hAnsi="Verdana" w:cs="Arial"/>
          <w:sz w:val="20"/>
          <w:szCs w:val="20"/>
        </w:rPr>
        <w:t>Impact sérieux de l’événement sur la santé publique</w:t>
      </w:r>
    </w:p>
    <w:p w14:paraId="3DEE89C1" w14:textId="77777777" w:rsidR="00606AE9" w:rsidRPr="00DB6E61" w:rsidRDefault="00BC2C15" w:rsidP="005444E9">
      <w:pPr>
        <w:pStyle w:val="Paragraphedeliste"/>
        <w:numPr>
          <w:ilvl w:val="2"/>
          <w:numId w:val="4"/>
        </w:numPr>
        <w:spacing w:before="120" w:after="120" w:line="276" w:lineRule="auto"/>
        <w:jc w:val="both"/>
        <w:rPr>
          <w:rFonts w:ascii="Verdana" w:hAnsi="Verdana" w:cs="Arial"/>
          <w:sz w:val="20"/>
          <w:szCs w:val="20"/>
        </w:rPr>
      </w:pPr>
      <w:r w:rsidRPr="00DB6E61">
        <w:rPr>
          <w:rFonts w:ascii="Verdana" w:hAnsi="Verdana" w:cs="Arial"/>
          <w:sz w:val="20"/>
          <w:szCs w:val="20"/>
        </w:rPr>
        <w:t>Événement inhabituel ou inattendu</w:t>
      </w:r>
    </w:p>
    <w:p w14:paraId="28D498C1" w14:textId="77777777" w:rsidR="00606AE9" w:rsidRPr="00DB6E61" w:rsidRDefault="00BC2C15" w:rsidP="005444E9">
      <w:pPr>
        <w:pStyle w:val="Paragraphedeliste"/>
        <w:numPr>
          <w:ilvl w:val="2"/>
          <w:numId w:val="4"/>
        </w:numPr>
        <w:spacing w:before="120" w:after="120" w:line="276" w:lineRule="auto"/>
        <w:jc w:val="both"/>
        <w:rPr>
          <w:rFonts w:ascii="Verdana" w:hAnsi="Verdana" w:cs="Arial"/>
          <w:sz w:val="20"/>
          <w:szCs w:val="20"/>
        </w:rPr>
      </w:pPr>
      <w:r w:rsidRPr="00DB6E61">
        <w:rPr>
          <w:rFonts w:ascii="Verdana" w:hAnsi="Verdana" w:cs="Arial"/>
          <w:sz w:val="20"/>
          <w:szCs w:val="20"/>
        </w:rPr>
        <w:t>Risque de propagation internationale</w:t>
      </w:r>
    </w:p>
    <w:p w14:paraId="69161EF7" w14:textId="0BE69AFD" w:rsidR="00BC2C15" w:rsidRPr="00DB6E61" w:rsidRDefault="00BC2C15" w:rsidP="005444E9">
      <w:pPr>
        <w:pStyle w:val="Paragraphedeliste"/>
        <w:numPr>
          <w:ilvl w:val="2"/>
          <w:numId w:val="4"/>
        </w:numPr>
        <w:spacing w:before="120" w:after="120" w:line="276" w:lineRule="auto"/>
        <w:jc w:val="both"/>
        <w:rPr>
          <w:rFonts w:ascii="Verdana" w:hAnsi="Verdana" w:cs="Arial"/>
          <w:sz w:val="20"/>
          <w:szCs w:val="20"/>
        </w:rPr>
      </w:pPr>
      <w:r w:rsidRPr="00DB6E61">
        <w:rPr>
          <w:rFonts w:ascii="Verdana" w:hAnsi="Verdana" w:cs="Arial"/>
          <w:sz w:val="20"/>
          <w:szCs w:val="20"/>
        </w:rPr>
        <w:t>Risque que d’autres Etats appliquent des mesures de restriction au voyage et au commerce.</w:t>
      </w:r>
    </w:p>
    <w:p w14:paraId="7B07887A" w14:textId="6744B525" w:rsidR="00BC2C15" w:rsidRPr="00DB6E61" w:rsidRDefault="00BC2C15" w:rsidP="005444E9">
      <w:pPr>
        <w:spacing w:before="120" w:after="120" w:line="276" w:lineRule="auto"/>
        <w:jc w:val="both"/>
        <w:rPr>
          <w:rFonts w:ascii="Verdana" w:hAnsi="Verdana" w:cs="Arial"/>
          <w:sz w:val="20"/>
          <w:szCs w:val="20"/>
        </w:rPr>
      </w:pPr>
      <w:r w:rsidRPr="00DB6E61">
        <w:rPr>
          <w:rFonts w:ascii="Verdana" w:hAnsi="Verdana" w:cs="Arial"/>
          <w:sz w:val="20"/>
          <w:szCs w:val="20"/>
        </w:rPr>
        <w:t xml:space="preserve">Le règlement sanitaire international de 2005 prévoit qu’il doit être mis e œuvre en respectant pleinement la dignité des personnes, les droits de l’homme et les libertés fondamentales, les </w:t>
      </w:r>
      <w:r w:rsidRPr="00DB6E61">
        <w:rPr>
          <w:rFonts w:ascii="Verdana" w:hAnsi="Verdana" w:cs="Arial"/>
          <w:sz w:val="20"/>
          <w:szCs w:val="20"/>
        </w:rPr>
        <w:lastRenderedPageBreak/>
        <w:t>Etats conservant le droit de légiférer et de promulguer la législation en vue de la mise en œuvre de leurs politiques en matière de santé</w:t>
      </w:r>
      <w:r w:rsidR="007F227A" w:rsidRPr="00DB6E61">
        <w:rPr>
          <w:rFonts w:ascii="Verdana" w:hAnsi="Verdana" w:cs="Arial"/>
          <w:sz w:val="20"/>
          <w:szCs w:val="20"/>
        </w:rPr>
        <w:t xml:space="preserve"> (</w:t>
      </w:r>
      <w:r w:rsidR="007F227A" w:rsidRPr="00DB6E61">
        <w:rPr>
          <w:rFonts w:ascii="Verdana" w:hAnsi="Verdana" w:cs="Arial"/>
          <w:b/>
          <w:bCs/>
          <w:sz w:val="20"/>
          <w:szCs w:val="20"/>
        </w:rPr>
        <w:t>droits humains</w:t>
      </w:r>
      <w:r w:rsidR="007F227A" w:rsidRPr="00DB6E61">
        <w:rPr>
          <w:rFonts w:ascii="Verdana" w:hAnsi="Verdana" w:cs="Arial"/>
          <w:sz w:val="20"/>
          <w:szCs w:val="20"/>
        </w:rPr>
        <w:t xml:space="preserve">). </w:t>
      </w:r>
    </w:p>
    <w:p w14:paraId="38C34250" w14:textId="34A8242F" w:rsidR="00BC2C15" w:rsidRPr="00DB6E61" w:rsidRDefault="00BC2C15" w:rsidP="005444E9">
      <w:pPr>
        <w:spacing w:before="120" w:after="120" w:line="276" w:lineRule="auto"/>
        <w:jc w:val="both"/>
        <w:rPr>
          <w:rFonts w:ascii="Verdana" w:hAnsi="Verdana" w:cs="Arial"/>
          <w:sz w:val="20"/>
          <w:szCs w:val="20"/>
        </w:rPr>
      </w:pPr>
      <w:r w:rsidRPr="00DB6E61">
        <w:rPr>
          <w:rFonts w:ascii="Verdana" w:hAnsi="Verdana" w:cs="Arial"/>
          <w:sz w:val="20"/>
          <w:szCs w:val="20"/>
        </w:rPr>
        <w:t xml:space="preserve">En outre, les voyeurs qui doivent être vaccinés </w:t>
      </w:r>
      <w:r w:rsidR="007F227A" w:rsidRPr="00DB6E61">
        <w:rPr>
          <w:rFonts w:ascii="Verdana" w:hAnsi="Verdana" w:cs="Arial"/>
          <w:sz w:val="20"/>
          <w:szCs w:val="20"/>
        </w:rPr>
        <w:t>sont informés de tout risque associé à la vaccination ou la non-vaccination conformément à la législation de l’Etat partie (</w:t>
      </w:r>
      <w:r w:rsidR="007F227A" w:rsidRPr="00DB6E61">
        <w:rPr>
          <w:rFonts w:ascii="Verdana" w:hAnsi="Verdana" w:cs="Arial"/>
          <w:b/>
          <w:bCs/>
          <w:sz w:val="20"/>
          <w:szCs w:val="20"/>
        </w:rPr>
        <w:t>consentement éclairé</w:t>
      </w:r>
      <w:r w:rsidR="007F227A" w:rsidRPr="00DB6E61">
        <w:rPr>
          <w:rFonts w:ascii="Verdana" w:hAnsi="Verdana" w:cs="Arial"/>
          <w:sz w:val="20"/>
          <w:szCs w:val="20"/>
        </w:rPr>
        <w:t xml:space="preserve">). </w:t>
      </w:r>
    </w:p>
    <w:p w14:paraId="178E0A53" w14:textId="01E628D0" w:rsidR="007F227A" w:rsidRPr="00DB6E61" w:rsidRDefault="007F227A" w:rsidP="005444E9">
      <w:pPr>
        <w:spacing w:before="120" w:after="120" w:line="276" w:lineRule="auto"/>
        <w:jc w:val="both"/>
        <w:rPr>
          <w:rFonts w:ascii="Verdana" w:hAnsi="Verdana" w:cs="Arial"/>
          <w:sz w:val="20"/>
          <w:szCs w:val="20"/>
        </w:rPr>
      </w:pPr>
      <w:r w:rsidRPr="00DB6E61">
        <w:rPr>
          <w:rFonts w:ascii="Verdana" w:hAnsi="Verdana" w:cs="Arial"/>
          <w:sz w:val="20"/>
          <w:szCs w:val="20"/>
        </w:rPr>
        <w:t xml:space="preserve">Si un risque imminent pour la santé publique est établi et qu’un voyageur refuse de donner son consentement pour un examen médical, une vaccination, l’Etat partie peut refuser l’entrée à ce voyageur, sachant que l’Etat peut lui conseiller de se soumettre à des mesures qui permettent d’endiguer la propagation de la maladie, y compris l’isolement, la quarantaine. </w:t>
      </w:r>
    </w:p>
    <w:p w14:paraId="001260E0" w14:textId="618D11E0" w:rsidR="0089353E" w:rsidRPr="00DB6E61" w:rsidRDefault="0089353E" w:rsidP="005444E9">
      <w:pPr>
        <w:spacing w:before="120" w:after="120" w:line="276" w:lineRule="auto"/>
        <w:jc w:val="both"/>
        <w:rPr>
          <w:rFonts w:ascii="Verdana" w:hAnsi="Verdana"/>
          <w:sz w:val="20"/>
          <w:szCs w:val="20"/>
        </w:rPr>
      </w:pPr>
      <w:r w:rsidRPr="00DB6E61">
        <w:rPr>
          <w:rFonts w:ascii="Verdana" w:hAnsi="Verdana" w:cs="Arial"/>
          <w:sz w:val="20"/>
          <w:szCs w:val="20"/>
        </w:rPr>
        <w:t>L’</w:t>
      </w:r>
      <w:hyperlink r:id="rId12" w:anchor="art_42" w:history="1">
        <w:r w:rsidRPr="001A7BB8">
          <w:rPr>
            <w:rStyle w:val="Lienhypertexte"/>
            <w:rFonts w:ascii="Verdana" w:hAnsi="Verdana" w:cs="Arial"/>
            <w:sz w:val="20"/>
            <w:szCs w:val="20"/>
          </w:rPr>
          <w:t xml:space="preserve">art. 42 al. 2 </w:t>
        </w:r>
        <w:proofErr w:type="spellStart"/>
        <w:r w:rsidRPr="001A7BB8">
          <w:rPr>
            <w:rStyle w:val="Lienhypertexte"/>
            <w:rFonts w:ascii="Verdana" w:hAnsi="Verdana" w:cs="Arial"/>
            <w:sz w:val="20"/>
            <w:szCs w:val="20"/>
          </w:rPr>
          <w:t>LEp</w:t>
        </w:r>
        <w:proofErr w:type="spellEnd"/>
      </w:hyperlink>
      <w:r w:rsidRPr="00DB6E61">
        <w:rPr>
          <w:rFonts w:ascii="Verdana" w:hAnsi="Verdana" w:cs="Arial"/>
          <w:sz w:val="20"/>
          <w:szCs w:val="20"/>
        </w:rPr>
        <w:t xml:space="preserve"> renvoie expressément au règlement sanitaire : « </w:t>
      </w:r>
      <w:r w:rsidRPr="00DB6E61">
        <w:rPr>
          <w:rFonts w:ascii="Verdana" w:hAnsi="Verdana" w:cs="Arial"/>
          <w:i/>
          <w:iCs/>
          <w:sz w:val="20"/>
          <w:szCs w:val="20"/>
        </w:rPr>
        <w:t>Le Conseil fédéral désigne les exploitants de ports ou d’aéroports devant mettre à disposition les capacités requises à l’annexe 1B du Règlement sanitaire international (2005) du 23 mai 2005</w:t>
      </w:r>
      <w:r w:rsidRPr="00DB6E61">
        <w:rPr>
          <w:rFonts w:ascii="Verdana" w:hAnsi="Verdana"/>
          <w:sz w:val="20"/>
          <w:szCs w:val="20"/>
        </w:rPr>
        <w:t xml:space="preserve"> ». </w:t>
      </w:r>
    </w:p>
    <w:p w14:paraId="1D34EAFD" w14:textId="6CE9846E" w:rsidR="00814F6E" w:rsidRPr="003A385F" w:rsidRDefault="00BC2C15" w:rsidP="003A385F">
      <w:pPr>
        <w:pStyle w:val="Paragraphedeliste"/>
        <w:numPr>
          <w:ilvl w:val="0"/>
          <w:numId w:val="21"/>
        </w:numPr>
        <w:spacing w:before="120" w:after="120" w:line="276" w:lineRule="auto"/>
        <w:jc w:val="both"/>
        <w:rPr>
          <w:rFonts w:ascii="Verdana" w:hAnsi="Verdana" w:cs="Arial"/>
          <w:sz w:val="20"/>
          <w:szCs w:val="20"/>
        </w:rPr>
      </w:pPr>
      <w:r w:rsidRPr="003A385F">
        <w:rPr>
          <w:rFonts w:ascii="Verdana" w:hAnsi="Verdana" w:cs="Arial"/>
          <w:b/>
          <w:bCs/>
          <w:sz w:val="20"/>
          <w:szCs w:val="20"/>
        </w:rPr>
        <w:t>Résolution 1983 de Conseil de sécurité des Nations Unies</w:t>
      </w:r>
      <w:r w:rsidRPr="003A385F">
        <w:rPr>
          <w:rFonts w:ascii="Verdana" w:hAnsi="Verdana" w:cs="Arial"/>
          <w:sz w:val="20"/>
          <w:szCs w:val="20"/>
        </w:rPr>
        <w:t xml:space="preserve"> (2011)</w:t>
      </w:r>
    </w:p>
    <w:p w14:paraId="10913ACE" w14:textId="23EF71B0" w:rsidR="00BC2C15" w:rsidRPr="003A385F" w:rsidRDefault="00BC2C15" w:rsidP="003A385F">
      <w:pPr>
        <w:pStyle w:val="Paragraphedeliste"/>
        <w:numPr>
          <w:ilvl w:val="0"/>
          <w:numId w:val="21"/>
        </w:numPr>
        <w:spacing w:before="120" w:after="120" w:line="276" w:lineRule="auto"/>
        <w:jc w:val="both"/>
        <w:rPr>
          <w:rFonts w:ascii="Verdana" w:hAnsi="Verdana" w:cs="Arial"/>
          <w:sz w:val="20"/>
          <w:szCs w:val="20"/>
        </w:rPr>
      </w:pPr>
      <w:r w:rsidRPr="003A385F">
        <w:rPr>
          <w:rFonts w:ascii="Verdana" w:hAnsi="Verdana" w:cs="Arial"/>
          <w:b/>
          <w:bCs/>
          <w:sz w:val="20"/>
          <w:szCs w:val="20"/>
        </w:rPr>
        <w:t>Cadre de préparation en cas de grippe pandémique</w:t>
      </w:r>
      <w:r w:rsidRPr="003A385F">
        <w:rPr>
          <w:rFonts w:ascii="Verdana" w:hAnsi="Verdana" w:cs="Arial"/>
          <w:sz w:val="20"/>
          <w:szCs w:val="20"/>
        </w:rPr>
        <w:t xml:space="preserve"> (2011)</w:t>
      </w:r>
    </w:p>
    <w:p w14:paraId="601FF92A" w14:textId="61EB88E4" w:rsidR="00BC2C15" w:rsidRPr="003A385F" w:rsidRDefault="00BC2C15" w:rsidP="003A385F">
      <w:pPr>
        <w:pStyle w:val="Paragraphedeliste"/>
        <w:numPr>
          <w:ilvl w:val="0"/>
          <w:numId w:val="21"/>
        </w:numPr>
        <w:spacing w:before="120" w:after="120" w:line="276" w:lineRule="auto"/>
        <w:jc w:val="both"/>
        <w:rPr>
          <w:rFonts w:ascii="Verdana" w:hAnsi="Verdana" w:cs="Arial"/>
          <w:sz w:val="20"/>
          <w:szCs w:val="20"/>
        </w:rPr>
      </w:pPr>
      <w:r w:rsidRPr="003A385F">
        <w:rPr>
          <w:rFonts w:ascii="Verdana" w:hAnsi="Verdana" w:cs="Arial"/>
          <w:b/>
          <w:bCs/>
          <w:sz w:val="20"/>
          <w:szCs w:val="20"/>
        </w:rPr>
        <w:t>Résolution 2177 du Conseil de sécurité des Nations Unies</w:t>
      </w:r>
      <w:r w:rsidRPr="003A385F">
        <w:rPr>
          <w:rFonts w:ascii="Verdana" w:hAnsi="Verdana" w:cs="Arial"/>
          <w:sz w:val="20"/>
          <w:szCs w:val="20"/>
        </w:rPr>
        <w:t xml:space="preserve"> (2014) </w:t>
      </w:r>
    </w:p>
    <w:p w14:paraId="200E05F6" w14:textId="5F3EECA0" w:rsidR="002A10EC" w:rsidRPr="00DB6E61" w:rsidRDefault="002A10EC" w:rsidP="005444E9">
      <w:pPr>
        <w:spacing w:before="120" w:after="120" w:line="276" w:lineRule="auto"/>
        <w:jc w:val="both"/>
        <w:rPr>
          <w:rFonts w:ascii="Verdana" w:hAnsi="Verdana" w:cs="Arial"/>
          <w:sz w:val="20"/>
          <w:szCs w:val="20"/>
        </w:rPr>
      </w:pPr>
    </w:p>
    <w:p w14:paraId="0C089BA8" w14:textId="01E6E30F" w:rsidR="00606AE9" w:rsidRPr="00DB6E61" w:rsidRDefault="00606AE9" w:rsidP="005444E9">
      <w:pPr>
        <w:spacing w:before="120" w:after="120" w:line="276" w:lineRule="auto"/>
        <w:jc w:val="both"/>
        <w:rPr>
          <w:rFonts w:ascii="Verdana" w:hAnsi="Verdana" w:cs="Arial"/>
          <w:sz w:val="20"/>
          <w:szCs w:val="20"/>
        </w:rPr>
      </w:pPr>
      <w:r w:rsidRPr="00DB6E61">
        <w:rPr>
          <w:rFonts w:ascii="Verdana" w:hAnsi="Verdana" w:cs="Arial"/>
          <w:sz w:val="20"/>
          <w:szCs w:val="20"/>
        </w:rPr>
        <w:br w:type="page"/>
      </w:r>
    </w:p>
    <w:p w14:paraId="7A356614" w14:textId="37A418FC" w:rsidR="00606AE9" w:rsidRPr="00DB6E61" w:rsidRDefault="00606AE9" w:rsidP="003A385F">
      <w:pPr>
        <w:pStyle w:val="Titre1"/>
      </w:pPr>
      <w:bookmarkStart w:id="2" w:name="_Toc131489869"/>
      <w:r w:rsidRPr="00DB6E61">
        <w:lastRenderedPageBreak/>
        <w:t>Bases légales suisses</w:t>
      </w:r>
      <w:bookmarkEnd w:id="2"/>
    </w:p>
    <w:p w14:paraId="6D99F676" w14:textId="77777777" w:rsidR="00606AE9" w:rsidRPr="00DB6E61" w:rsidRDefault="00606AE9" w:rsidP="005444E9">
      <w:pPr>
        <w:spacing w:before="120" w:after="120" w:line="276" w:lineRule="auto"/>
        <w:jc w:val="both"/>
        <w:rPr>
          <w:rFonts w:ascii="Verdana" w:hAnsi="Verdana" w:cs="Arial"/>
          <w:sz w:val="20"/>
          <w:szCs w:val="20"/>
        </w:rPr>
      </w:pPr>
      <w:r w:rsidRPr="00DB6E61">
        <w:rPr>
          <w:rFonts w:ascii="Verdana" w:hAnsi="Verdana" w:cs="Arial"/>
          <w:noProof/>
          <w:sz w:val="20"/>
          <w:szCs w:val="20"/>
        </w:rPr>
        <w:drawing>
          <wp:inline distT="0" distB="0" distL="0" distR="0" wp14:anchorId="46910DF8" wp14:editId="4B1169C5">
            <wp:extent cx="6011776" cy="5242560"/>
            <wp:effectExtent l="0" t="0" r="0" b="2540"/>
            <wp:docPr id="20" name="Image 20"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table&#10;&#10;Description générée automatiquement"/>
                    <pic:cNvPicPr/>
                  </pic:nvPicPr>
                  <pic:blipFill>
                    <a:blip r:embed="rId13"/>
                    <a:stretch>
                      <a:fillRect/>
                    </a:stretch>
                  </pic:blipFill>
                  <pic:spPr>
                    <a:xfrm>
                      <a:off x="0" y="0"/>
                      <a:ext cx="6028053" cy="5256754"/>
                    </a:xfrm>
                    <a:prstGeom prst="rect">
                      <a:avLst/>
                    </a:prstGeom>
                  </pic:spPr>
                </pic:pic>
              </a:graphicData>
            </a:graphic>
          </wp:inline>
        </w:drawing>
      </w:r>
    </w:p>
    <w:p w14:paraId="11A175EB" w14:textId="77777777" w:rsidR="00606AE9" w:rsidRPr="00DB6E61" w:rsidRDefault="00606AE9" w:rsidP="005444E9">
      <w:pPr>
        <w:spacing w:before="120" w:after="120" w:line="276" w:lineRule="auto"/>
        <w:jc w:val="both"/>
        <w:rPr>
          <w:rFonts w:ascii="Verdana" w:hAnsi="Verdana" w:cs="Arial"/>
          <w:sz w:val="20"/>
          <w:szCs w:val="20"/>
        </w:rPr>
      </w:pPr>
    </w:p>
    <w:p w14:paraId="0A0877C1" w14:textId="3E445E29" w:rsidR="00E105E8" w:rsidRPr="00DB6E61" w:rsidRDefault="00E105E8" w:rsidP="005444E9">
      <w:pPr>
        <w:spacing w:before="120" w:after="120" w:line="276" w:lineRule="auto"/>
        <w:jc w:val="both"/>
        <w:rPr>
          <w:rFonts w:ascii="Verdana" w:hAnsi="Verdana" w:cs="Arial"/>
          <w:sz w:val="20"/>
          <w:szCs w:val="20"/>
        </w:rPr>
      </w:pPr>
      <w:r w:rsidRPr="00DB6E61">
        <w:rPr>
          <w:rFonts w:ascii="Verdana" w:hAnsi="Verdana" w:cs="Arial"/>
          <w:sz w:val="20"/>
          <w:szCs w:val="20"/>
        </w:rPr>
        <w:br w:type="page"/>
      </w:r>
    </w:p>
    <w:p w14:paraId="39D28839" w14:textId="07B8DE7F" w:rsidR="00A00F39" w:rsidRPr="00DB6E61" w:rsidRDefault="002A10EC" w:rsidP="005444E9">
      <w:pPr>
        <w:pStyle w:val="Paragraphedeliste"/>
        <w:numPr>
          <w:ilvl w:val="0"/>
          <w:numId w:val="10"/>
        </w:numPr>
        <w:spacing w:before="120" w:after="120" w:line="276" w:lineRule="auto"/>
        <w:jc w:val="both"/>
        <w:rPr>
          <w:rStyle w:val="lev"/>
          <w:rFonts w:ascii="Verdana" w:hAnsi="Verdana" w:cs="Arial"/>
          <w:sz w:val="20"/>
          <w:szCs w:val="20"/>
        </w:rPr>
      </w:pPr>
      <w:r w:rsidRPr="00DB6E61">
        <w:rPr>
          <w:rFonts w:ascii="Verdana" w:hAnsi="Verdana" w:cs="Arial"/>
          <w:b/>
          <w:bCs/>
          <w:sz w:val="20"/>
          <w:szCs w:val="20"/>
        </w:rPr>
        <w:lastRenderedPageBreak/>
        <w:t xml:space="preserve">La </w:t>
      </w:r>
      <w:proofErr w:type="spellStart"/>
      <w:r w:rsidRPr="00DB6E61">
        <w:rPr>
          <w:rFonts w:ascii="Verdana" w:hAnsi="Verdana" w:cs="Arial"/>
          <w:b/>
          <w:bCs/>
          <w:sz w:val="20"/>
          <w:szCs w:val="20"/>
        </w:rPr>
        <w:t>LEp</w:t>
      </w:r>
      <w:proofErr w:type="spellEnd"/>
      <w:r w:rsidRPr="00DB6E61">
        <w:rPr>
          <w:rFonts w:ascii="Verdana" w:hAnsi="Verdana" w:cs="Arial"/>
          <w:sz w:val="20"/>
          <w:szCs w:val="20"/>
        </w:rPr>
        <w:t xml:space="preserve"> </w:t>
      </w:r>
      <w:r w:rsidR="00606AE9" w:rsidRPr="00DB6E61">
        <w:rPr>
          <w:rFonts w:ascii="Verdana" w:hAnsi="Verdana" w:cs="Arial"/>
          <w:sz w:val="20"/>
          <w:szCs w:val="20"/>
        </w:rPr>
        <w:t xml:space="preserve">(2016), qui n’est pas la seule loi suisse qui permette de gérer les effets de la propagation d’une maladie transmissible, </w:t>
      </w:r>
      <w:r w:rsidRPr="00DB6E61">
        <w:rPr>
          <w:rFonts w:ascii="Verdana" w:hAnsi="Verdana" w:cs="Arial"/>
          <w:sz w:val="20"/>
          <w:szCs w:val="20"/>
        </w:rPr>
        <w:t xml:space="preserve">a pour but de protéger la population </w:t>
      </w:r>
      <w:r w:rsidR="001C56E2" w:rsidRPr="00DB6E61">
        <w:rPr>
          <w:rFonts w:ascii="Verdana" w:hAnsi="Verdana" w:cs="Arial"/>
          <w:sz w:val="20"/>
          <w:szCs w:val="20"/>
        </w:rPr>
        <w:t xml:space="preserve">contre les maladies </w:t>
      </w:r>
      <w:r w:rsidR="00A24B70" w:rsidRPr="00DB6E61">
        <w:rPr>
          <w:rFonts w:ascii="Verdana" w:hAnsi="Verdana" w:cs="Arial"/>
          <w:sz w:val="20"/>
          <w:szCs w:val="20"/>
        </w:rPr>
        <w:t>des stratégies graduées</w:t>
      </w:r>
      <w:r w:rsidR="00FB08C3" w:rsidRPr="00DB6E61">
        <w:rPr>
          <w:rFonts w:ascii="Verdana" w:hAnsi="Verdana" w:cs="Arial"/>
          <w:sz w:val="20"/>
          <w:szCs w:val="20"/>
        </w:rPr>
        <w:t xml:space="preserve"> en 3 échelons</w:t>
      </w:r>
      <w:r w:rsidR="00945082" w:rsidRPr="00DB6E61">
        <w:rPr>
          <w:rFonts w:ascii="Verdana" w:hAnsi="Verdana" w:cs="Arial"/>
          <w:sz w:val="20"/>
          <w:szCs w:val="20"/>
        </w:rPr>
        <w:t> :</w:t>
      </w:r>
      <w:r w:rsidR="004674D8" w:rsidRPr="00DB6E61">
        <w:rPr>
          <w:rFonts w:ascii="Verdana" w:hAnsi="Verdana" w:cs="Arial"/>
          <w:sz w:val="20"/>
          <w:szCs w:val="20"/>
        </w:rPr>
        <w:t xml:space="preserve"> </w:t>
      </w:r>
      <w:r w:rsidR="00A912F2" w:rsidRPr="00DB6E61">
        <w:rPr>
          <w:rStyle w:val="lev"/>
          <w:rFonts w:ascii="Verdana" w:hAnsi="Verdana" w:cs="Arial"/>
          <w:sz w:val="20"/>
          <w:szCs w:val="20"/>
        </w:rPr>
        <w:t xml:space="preserve"> </w:t>
      </w:r>
    </w:p>
    <w:p w14:paraId="3CE8B947" w14:textId="77777777" w:rsidR="00606AE9" w:rsidRPr="00DB6E61" w:rsidRDefault="00606AE9" w:rsidP="005444E9">
      <w:pPr>
        <w:pStyle w:val="Paragraphedeliste"/>
        <w:spacing w:before="120" w:after="120" w:line="276" w:lineRule="auto"/>
        <w:ind w:left="360"/>
        <w:jc w:val="both"/>
        <w:rPr>
          <w:rStyle w:val="lev"/>
          <w:rFonts w:ascii="Verdana" w:hAnsi="Verdana" w:cs="Arial"/>
          <w:sz w:val="20"/>
          <w:szCs w:val="20"/>
        </w:rPr>
      </w:pPr>
    </w:p>
    <w:tbl>
      <w:tblPr>
        <w:tblStyle w:val="Grilledutableau"/>
        <w:tblW w:w="8849" w:type="dxa"/>
        <w:tblInd w:w="360" w:type="dxa"/>
        <w:tblLook w:val="04A0" w:firstRow="1" w:lastRow="0" w:firstColumn="1" w:lastColumn="0" w:noHBand="0" w:noVBand="1"/>
      </w:tblPr>
      <w:tblGrid>
        <w:gridCol w:w="1499"/>
        <w:gridCol w:w="2491"/>
        <w:gridCol w:w="2384"/>
        <w:gridCol w:w="2475"/>
      </w:tblGrid>
      <w:tr w:rsidR="00B114BD" w:rsidRPr="00DB6E61" w14:paraId="731FAD2D" w14:textId="77777777" w:rsidTr="00FD636D">
        <w:tc>
          <w:tcPr>
            <w:tcW w:w="1336" w:type="dxa"/>
            <w:shd w:val="clear" w:color="auto" w:fill="D5DCE4" w:themeFill="text2" w:themeFillTint="33"/>
          </w:tcPr>
          <w:p w14:paraId="3313FCA3" w14:textId="28394272" w:rsidR="00B114BD" w:rsidRPr="00DB6E61" w:rsidRDefault="00B114BD"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Situation</w:t>
            </w:r>
          </w:p>
        </w:tc>
        <w:tc>
          <w:tcPr>
            <w:tcW w:w="2552" w:type="dxa"/>
            <w:shd w:val="clear" w:color="auto" w:fill="D5DCE4" w:themeFill="text2" w:themeFillTint="33"/>
          </w:tcPr>
          <w:p w14:paraId="6FB81BB0" w14:textId="5B8FB4B2" w:rsidR="00B114BD" w:rsidRPr="00DB6E61" w:rsidRDefault="00B114BD"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Les programmes nationaux (situation normale)</w:t>
            </w:r>
          </w:p>
        </w:tc>
        <w:tc>
          <w:tcPr>
            <w:tcW w:w="2435" w:type="dxa"/>
            <w:shd w:val="clear" w:color="auto" w:fill="D5DCE4" w:themeFill="text2" w:themeFillTint="33"/>
          </w:tcPr>
          <w:p w14:paraId="050B325E" w14:textId="6053C73A" w:rsidR="00B114BD" w:rsidRPr="00DB6E61" w:rsidRDefault="00B114BD"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Les situations particulières</w:t>
            </w:r>
          </w:p>
        </w:tc>
        <w:tc>
          <w:tcPr>
            <w:tcW w:w="2526" w:type="dxa"/>
            <w:shd w:val="clear" w:color="auto" w:fill="D5DCE4" w:themeFill="text2" w:themeFillTint="33"/>
          </w:tcPr>
          <w:p w14:paraId="1997E457" w14:textId="42FE38E0" w:rsidR="00B114BD" w:rsidRPr="00DB6E61" w:rsidRDefault="00B114BD"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Les situations extraordinaires</w:t>
            </w:r>
          </w:p>
        </w:tc>
      </w:tr>
      <w:tr w:rsidR="00B114BD" w:rsidRPr="001809E4" w14:paraId="197B191C" w14:textId="77777777" w:rsidTr="00FD636D">
        <w:tc>
          <w:tcPr>
            <w:tcW w:w="1336" w:type="dxa"/>
            <w:shd w:val="clear" w:color="auto" w:fill="FBE4D5" w:themeFill="accent2" w:themeFillTint="33"/>
          </w:tcPr>
          <w:p w14:paraId="439C4050" w14:textId="3EB70735" w:rsidR="00B114BD" w:rsidRPr="00DB6E61" w:rsidRDefault="00B114BD"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Articles</w:t>
            </w:r>
          </w:p>
        </w:tc>
        <w:tc>
          <w:tcPr>
            <w:tcW w:w="2552" w:type="dxa"/>
          </w:tcPr>
          <w:p w14:paraId="214393CE" w14:textId="7409CBEB" w:rsidR="00B114BD" w:rsidRPr="00DB6E61" w:rsidRDefault="00B114BD"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 xml:space="preserve">Art. </w:t>
            </w:r>
            <w:hyperlink r:id="rId14" w:anchor="art_1" w:history="1">
              <w:r w:rsidRPr="00870791">
                <w:rPr>
                  <w:rStyle w:val="Lienhypertexte"/>
                  <w:rFonts w:ascii="Verdana" w:hAnsi="Verdana" w:cs="Arial"/>
                  <w:sz w:val="20"/>
                  <w:szCs w:val="20"/>
                </w:rPr>
                <w:t>1</w:t>
              </w:r>
            </w:hyperlink>
            <w:r w:rsidRPr="00DB6E61">
              <w:rPr>
                <w:rStyle w:val="lev"/>
                <w:rFonts w:ascii="Verdana" w:hAnsi="Verdana" w:cs="Arial"/>
                <w:b w:val="0"/>
                <w:bCs w:val="0"/>
                <w:sz w:val="20"/>
                <w:szCs w:val="20"/>
              </w:rPr>
              <w:t>-</w:t>
            </w:r>
            <w:hyperlink r:id="rId15" w:anchor="art_5" w:history="1">
              <w:r w:rsidRPr="00D847F7">
                <w:rPr>
                  <w:rStyle w:val="Lienhypertexte"/>
                  <w:rFonts w:ascii="Verdana" w:hAnsi="Verdana" w:cs="Arial"/>
                  <w:b/>
                  <w:bCs/>
                  <w:sz w:val="20"/>
                  <w:szCs w:val="20"/>
                </w:rPr>
                <w:t>5</w:t>
              </w:r>
            </w:hyperlink>
            <w:r w:rsidRPr="00DB6E61">
              <w:rPr>
                <w:rStyle w:val="lev"/>
                <w:rFonts w:ascii="Verdana" w:hAnsi="Verdana" w:cs="Arial"/>
                <w:b w:val="0"/>
                <w:bCs w:val="0"/>
                <w:sz w:val="20"/>
                <w:szCs w:val="20"/>
              </w:rPr>
              <w:t xml:space="preserve">, </w:t>
            </w:r>
            <w:hyperlink r:id="rId16" w:anchor="art_8" w:history="1">
              <w:r w:rsidRPr="00E1529A">
                <w:rPr>
                  <w:rStyle w:val="Lienhypertexte"/>
                  <w:rFonts w:ascii="Verdana" w:hAnsi="Verdana" w:cs="Arial"/>
                  <w:sz w:val="20"/>
                  <w:szCs w:val="20"/>
                </w:rPr>
                <w:t>8</w:t>
              </w:r>
            </w:hyperlink>
            <w:r w:rsidRPr="00DB6E61">
              <w:rPr>
                <w:rStyle w:val="lev"/>
                <w:rFonts w:ascii="Verdana" w:hAnsi="Verdana" w:cs="Arial"/>
                <w:b w:val="0"/>
                <w:bCs w:val="0"/>
                <w:sz w:val="20"/>
                <w:szCs w:val="20"/>
              </w:rPr>
              <w:t>-</w:t>
            </w:r>
            <w:hyperlink r:id="rId17" w:anchor="art_88" w:history="1">
              <w:r w:rsidRPr="00E1529A">
                <w:rPr>
                  <w:rStyle w:val="Lienhypertexte"/>
                  <w:rFonts w:ascii="Verdana" w:hAnsi="Verdana" w:cs="Arial"/>
                  <w:sz w:val="20"/>
                  <w:szCs w:val="20"/>
                </w:rPr>
                <w:t>88</w:t>
              </w:r>
            </w:hyperlink>
            <w:r w:rsidRPr="00DB6E61">
              <w:rPr>
                <w:rStyle w:val="lev"/>
                <w:rFonts w:ascii="Verdana" w:hAnsi="Verdana" w:cs="Arial"/>
                <w:b w:val="0"/>
                <w:bCs w:val="0"/>
                <w:sz w:val="20"/>
                <w:szCs w:val="20"/>
              </w:rPr>
              <w:t xml:space="preserve"> </w:t>
            </w:r>
            <w:proofErr w:type="spellStart"/>
            <w:r w:rsidRPr="00DB6E61">
              <w:rPr>
                <w:rStyle w:val="lev"/>
                <w:rFonts w:ascii="Verdana" w:hAnsi="Verdana" w:cs="Arial"/>
                <w:b w:val="0"/>
                <w:bCs w:val="0"/>
                <w:sz w:val="20"/>
                <w:szCs w:val="20"/>
              </w:rPr>
              <w:t>LEp</w:t>
            </w:r>
            <w:proofErr w:type="spellEnd"/>
          </w:p>
        </w:tc>
        <w:tc>
          <w:tcPr>
            <w:tcW w:w="2435" w:type="dxa"/>
          </w:tcPr>
          <w:p w14:paraId="388A1470" w14:textId="77182FE7" w:rsidR="00B114BD" w:rsidRPr="00DB6E61" w:rsidRDefault="00B114BD"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 xml:space="preserve">Art. </w:t>
            </w:r>
            <w:hyperlink r:id="rId18" w:anchor="art_1" w:history="1">
              <w:r w:rsidRPr="00361F08">
                <w:rPr>
                  <w:rStyle w:val="Lienhypertexte"/>
                  <w:rFonts w:ascii="Verdana" w:hAnsi="Verdana" w:cs="Arial"/>
                  <w:sz w:val="20"/>
                  <w:szCs w:val="20"/>
                </w:rPr>
                <w:t>1</w:t>
              </w:r>
            </w:hyperlink>
            <w:r w:rsidRPr="00DB6E61">
              <w:rPr>
                <w:rStyle w:val="lev"/>
                <w:rFonts w:ascii="Verdana" w:hAnsi="Verdana" w:cs="Arial"/>
                <w:b w:val="0"/>
                <w:bCs w:val="0"/>
                <w:sz w:val="20"/>
                <w:szCs w:val="20"/>
              </w:rPr>
              <w:t>-</w:t>
            </w:r>
            <w:hyperlink r:id="rId19" w:anchor="art_6" w:history="1">
              <w:r w:rsidRPr="00811463">
                <w:rPr>
                  <w:rStyle w:val="Lienhypertexte"/>
                  <w:rFonts w:ascii="Verdana" w:hAnsi="Verdana" w:cs="Arial"/>
                  <w:b/>
                  <w:bCs/>
                  <w:sz w:val="20"/>
                  <w:szCs w:val="20"/>
                </w:rPr>
                <w:t>6</w:t>
              </w:r>
            </w:hyperlink>
            <w:r w:rsidRPr="00DB6E61">
              <w:rPr>
                <w:rStyle w:val="lev"/>
                <w:rFonts w:ascii="Verdana" w:hAnsi="Verdana" w:cs="Arial"/>
                <w:b w:val="0"/>
                <w:bCs w:val="0"/>
                <w:sz w:val="20"/>
                <w:szCs w:val="20"/>
              </w:rPr>
              <w:t xml:space="preserve">, </w:t>
            </w:r>
            <w:hyperlink r:id="rId20" w:anchor="art_8" w:history="1">
              <w:r w:rsidR="00811463" w:rsidRPr="00E1529A">
                <w:rPr>
                  <w:rStyle w:val="Lienhypertexte"/>
                  <w:rFonts w:ascii="Verdana" w:hAnsi="Verdana" w:cs="Arial"/>
                  <w:sz w:val="20"/>
                  <w:szCs w:val="20"/>
                </w:rPr>
                <w:t>8</w:t>
              </w:r>
            </w:hyperlink>
            <w:r w:rsidR="00811463" w:rsidRPr="00DB6E61">
              <w:rPr>
                <w:rStyle w:val="lev"/>
                <w:rFonts w:ascii="Verdana" w:hAnsi="Verdana" w:cs="Arial"/>
                <w:b w:val="0"/>
                <w:bCs w:val="0"/>
                <w:sz w:val="20"/>
                <w:szCs w:val="20"/>
              </w:rPr>
              <w:t>-</w:t>
            </w:r>
            <w:hyperlink r:id="rId21" w:anchor="art_88" w:history="1">
              <w:r w:rsidR="00811463" w:rsidRPr="00E1529A">
                <w:rPr>
                  <w:rStyle w:val="Lienhypertexte"/>
                  <w:rFonts w:ascii="Verdana" w:hAnsi="Verdana" w:cs="Arial"/>
                  <w:sz w:val="20"/>
                  <w:szCs w:val="20"/>
                </w:rPr>
                <w:t>88</w:t>
              </w:r>
            </w:hyperlink>
            <w:r w:rsidR="00811463">
              <w:rPr>
                <w:rStyle w:val="lev"/>
                <w:rFonts w:ascii="Verdana" w:hAnsi="Verdana" w:cs="Arial"/>
                <w:b w:val="0"/>
                <w:bCs w:val="0"/>
                <w:sz w:val="20"/>
                <w:szCs w:val="20"/>
              </w:rPr>
              <w:t xml:space="preserve"> </w:t>
            </w:r>
            <w:proofErr w:type="spellStart"/>
            <w:r w:rsidRPr="00DB6E61">
              <w:rPr>
                <w:rStyle w:val="lev"/>
                <w:rFonts w:ascii="Verdana" w:hAnsi="Verdana" w:cs="Arial"/>
                <w:b w:val="0"/>
                <w:bCs w:val="0"/>
                <w:sz w:val="20"/>
                <w:szCs w:val="20"/>
              </w:rPr>
              <w:t>LEp</w:t>
            </w:r>
            <w:proofErr w:type="spellEnd"/>
          </w:p>
        </w:tc>
        <w:tc>
          <w:tcPr>
            <w:tcW w:w="2526" w:type="dxa"/>
          </w:tcPr>
          <w:p w14:paraId="243ED4EC" w14:textId="00F54846" w:rsidR="00B114BD" w:rsidRPr="00DB6E61" w:rsidRDefault="00B114BD" w:rsidP="005444E9">
            <w:pPr>
              <w:spacing w:before="120" w:after="120" w:line="276" w:lineRule="auto"/>
              <w:jc w:val="both"/>
              <w:rPr>
                <w:rStyle w:val="lev"/>
                <w:rFonts w:ascii="Verdana" w:hAnsi="Verdana" w:cs="Arial"/>
                <w:b w:val="0"/>
                <w:bCs w:val="0"/>
                <w:sz w:val="20"/>
                <w:szCs w:val="20"/>
                <w:lang w:val="en-US"/>
              </w:rPr>
            </w:pPr>
            <w:r w:rsidRPr="00DB6E61">
              <w:rPr>
                <w:rStyle w:val="lev"/>
                <w:rFonts w:ascii="Verdana" w:hAnsi="Verdana" w:cs="Arial"/>
                <w:b w:val="0"/>
                <w:bCs w:val="0"/>
                <w:sz w:val="20"/>
                <w:szCs w:val="20"/>
                <w:lang w:val="en-US"/>
              </w:rPr>
              <w:t xml:space="preserve">Art. </w:t>
            </w:r>
            <w:hyperlink r:id="rId22" w:anchor="art_7" w:history="1">
              <w:r w:rsidRPr="00821F24">
                <w:rPr>
                  <w:rStyle w:val="Lienhypertexte"/>
                  <w:rFonts w:ascii="Verdana" w:hAnsi="Verdana" w:cs="Arial"/>
                  <w:b/>
                  <w:bCs/>
                  <w:sz w:val="20"/>
                  <w:szCs w:val="20"/>
                  <w:lang w:val="en-US"/>
                </w:rPr>
                <w:t>7</w:t>
              </w:r>
            </w:hyperlink>
            <w:r w:rsidRPr="00DB6E61">
              <w:rPr>
                <w:rStyle w:val="lev"/>
                <w:rFonts w:ascii="Verdana" w:hAnsi="Verdana" w:cs="Arial"/>
                <w:b w:val="0"/>
                <w:bCs w:val="0"/>
                <w:sz w:val="20"/>
                <w:szCs w:val="20"/>
                <w:lang w:val="en-US"/>
              </w:rPr>
              <w:t xml:space="preserve"> </w:t>
            </w:r>
            <w:proofErr w:type="spellStart"/>
            <w:r w:rsidRPr="00DB6E61">
              <w:rPr>
                <w:rStyle w:val="lev"/>
                <w:rFonts w:ascii="Verdana" w:hAnsi="Verdana" w:cs="Arial"/>
                <w:b w:val="0"/>
                <w:bCs w:val="0"/>
                <w:sz w:val="20"/>
                <w:szCs w:val="20"/>
                <w:lang w:val="en-US"/>
              </w:rPr>
              <w:t>LEp</w:t>
            </w:r>
            <w:proofErr w:type="spellEnd"/>
            <w:r w:rsidRPr="00DB6E61">
              <w:rPr>
                <w:rStyle w:val="lev"/>
                <w:rFonts w:ascii="Verdana" w:hAnsi="Verdana" w:cs="Arial"/>
                <w:b w:val="0"/>
                <w:bCs w:val="0"/>
                <w:sz w:val="20"/>
                <w:szCs w:val="20"/>
                <w:lang w:val="en-US"/>
              </w:rPr>
              <w:t xml:space="preserve"> ; </w:t>
            </w:r>
            <w:hyperlink r:id="rId23" w:anchor="art_185" w:history="1">
              <w:r w:rsidRPr="006526D4">
                <w:rPr>
                  <w:rStyle w:val="Lienhypertexte"/>
                  <w:rFonts w:ascii="Verdana" w:hAnsi="Verdana" w:cs="Arial"/>
                  <w:sz w:val="20"/>
                  <w:szCs w:val="20"/>
                  <w:lang w:val="en-US"/>
                </w:rPr>
                <w:t>art. 185 al. 3</w:t>
              </w:r>
            </w:hyperlink>
            <w:r w:rsidRPr="00DB6E61">
              <w:rPr>
                <w:rStyle w:val="lev"/>
                <w:rFonts w:ascii="Verdana" w:hAnsi="Verdana" w:cs="Arial"/>
                <w:b w:val="0"/>
                <w:bCs w:val="0"/>
                <w:sz w:val="20"/>
                <w:szCs w:val="20"/>
                <w:lang w:val="en-US"/>
              </w:rPr>
              <w:t xml:space="preserve">, </w:t>
            </w:r>
            <w:proofErr w:type="spellStart"/>
            <w:r w:rsidRPr="00DB6E61">
              <w:rPr>
                <w:rStyle w:val="lev"/>
                <w:rFonts w:ascii="Verdana" w:hAnsi="Verdana" w:cs="Arial"/>
                <w:b w:val="0"/>
                <w:bCs w:val="0"/>
                <w:sz w:val="20"/>
                <w:szCs w:val="20"/>
                <w:lang w:val="en-US"/>
              </w:rPr>
              <w:t>Cst</w:t>
            </w:r>
            <w:proofErr w:type="spellEnd"/>
          </w:p>
        </w:tc>
      </w:tr>
      <w:tr w:rsidR="00B114BD" w:rsidRPr="00DB6E61" w14:paraId="1DC518F9" w14:textId="77777777" w:rsidTr="00FD636D">
        <w:tc>
          <w:tcPr>
            <w:tcW w:w="1336" w:type="dxa"/>
            <w:shd w:val="clear" w:color="auto" w:fill="FBE4D5" w:themeFill="accent2" w:themeFillTint="33"/>
          </w:tcPr>
          <w:p w14:paraId="091852A2" w14:textId="13D3B0F1" w:rsidR="00B114BD" w:rsidRPr="00DB6E61" w:rsidRDefault="0080278A" w:rsidP="005444E9">
            <w:pPr>
              <w:spacing w:before="120" w:after="120" w:line="276" w:lineRule="auto"/>
              <w:jc w:val="both"/>
              <w:rPr>
                <w:rStyle w:val="lev"/>
                <w:rFonts w:ascii="Verdana" w:hAnsi="Verdana" w:cs="Arial"/>
                <w:sz w:val="20"/>
                <w:szCs w:val="20"/>
                <w:lang w:val="de-CH"/>
              </w:rPr>
            </w:pPr>
            <w:r w:rsidRPr="00DB6E61">
              <w:rPr>
                <w:rStyle w:val="lev"/>
                <w:rFonts w:ascii="Verdana" w:hAnsi="Verdana" w:cs="Arial"/>
                <w:sz w:val="20"/>
                <w:szCs w:val="20"/>
                <w:lang w:val="de-CH"/>
              </w:rPr>
              <w:t>Description</w:t>
            </w:r>
          </w:p>
        </w:tc>
        <w:tc>
          <w:tcPr>
            <w:tcW w:w="2552" w:type="dxa"/>
          </w:tcPr>
          <w:p w14:paraId="227F0391" w14:textId="50C48574" w:rsidR="00B114BD" w:rsidRPr="00DB6E61" w:rsidRDefault="0080278A"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 xml:space="preserve">Quotidien </w:t>
            </w:r>
            <w:r w:rsidR="00FD636D" w:rsidRPr="00DB6E61">
              <w:rPr>
                <w:rStyle w:val="lev"/>
                <w:rFonts w:ascii="Verdana" w:hAnsi="Verdana" w:cs="Arial"/>
                <w:b w:val="0"/>
                <w:bCs w:val="0"/>
                <w:sz w:val="20"/>
                <w:szCs w:val="20"/>
              </w:rPr>
              <w:t>épidémiologique :</w:t>
            </w:r>
            <w:r w:rsidRPr="00DB6E61">
              <w:rPr>
                <w:rStyle w:val="lev"/>
                <w:rFonts w:ascii="Verdana" w:hAnsi="Verdana" w:cs="Arial"/>
                <w:b w:val="0"/>
                <w:bCs w:val="0"/>
                <w:sz w:val="20"/>
                <w:szCs w:val="20"/>
              </w:rPr>
              <w:t xml:space="preserve"> prévention, surveillance, lutte</w:t>
            </w:r>
          </w:p>
        </w:tc>
        <w:tc>
          <w:tcPr>
            <w:tcW w:w="2435" w:type="dxa"/>
          </w:tcPr>
          <w:p w14:paraId="7DB89495" w14:textId="3E0F3E76" w:rsidR="00B114BD" w:rsidRPr="00DB6E61" w:rsidRDefault="0080278A"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Urgence épidémiologique</w:t>
            </w:r>
          </w:p>
        </w:tc>
        <w:tc>
          <w:tcPr>
            <w:tcW w:w="2526" w:type="dxa"/>
          </w:tcPr>
          <w:p w14:paraId="2D292033" w14:textId="2A324663" w:rsidR="00B114BD" w:rsidRPr="00DB6E61" w:rsidRDefault="0080278A"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Menace nationale (pour la sécurité extérieure et intérieure)</w:t>
            </w:r>
          </w:p>
        </w:tc>
      </w:tr>
      <w:tr w:rsidR="00B114BD" w:rsidRPr="00DB6E61" w14:paraId="2AFD58E0" w14:textId="77777777" w:rsidTr="00FD636D">
        <w:tc>
          <w:tcPr>
            <w:tcW w:w="1336" w:type="dxa"/>
            <w:shd w:val="clear" w:color="auto" w:fill="FBE4D5" w:themeFill="accent2" w:themeFillTint="33"/>
          </w:tcPr>
          <w:p w14:paraId="7B5821CF" w14:textId="172A95C5" w:rsidR="00B114BD" w:rsidRPr="00DB6E61" w:rsidRDefault="003F47F6"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Exemples</w:t>
            </w:r>
          </w:p>
        </w:tc>
        <w:tc>
          <w:tcPr>
            <w:tcW w:w="2552" w:type="dxa"/>
          </w:tcPr>
          <w:p w14:paraId="2D5BD722" w14:textId="379D1A47" w:rsidR="00B114BD" w:rsidRPr="00DB6E61" w:rsidRDefault="003F47F6"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Tuberculose, méningite, flambée locale de rougeole, VIH</w:t>
            </w:r>
          </w:p>
        </w:tc>
        <w:tc>
          <w:tcPr>
            <w:tcW w:w="2435" w:type="dxa"/>
          </w:tcPr>
          <w:p w14:paraId="3759028D" w14:textId="194E98C6" w:rsidR="00B114BD" w:rsidRPr="00DB6E61" w:rsidRDefault="00D472D3"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Pandémie d’influenza de gravité modérée, H1N1, SRAS</w:t>
            </w:r>
          </w:p>
        </w:tc>
        <w:tc>
          <w:tcPr>
            <w:tcW w:w="2526" w:type="dxa"/>
          </w:tcPr>
          <w:p w14:paraId="4AD459A2" w14:textId="22BED6A6" w:rsidR="00B114BD" w:rsidRPr="00DB6E61" w:rsidRDefault="00D472D3"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Pire scénario de pandémie (grippe espagnole de 1918</w:t>
            </w:r>
          </w:p>
          <w:p w14:paraId="6CC3B4D6" w14:textId="3685ECA5" w:rsidR="00D472D3" w:rsidRPr="00DB6E61" w:rsidRDefault="00D472D3" w:rsidP="005444E9">
            <w:pPr>
              <w:spacing w:before="120" w:after="120" w:line="276" w:lineRule="auto"/>
              <w:jc w:val="both"/>
              <w:rPr>
                <w:rStyle w:val="lev"/>
                <w:rFonts w:ascii="Verdana" w:hAnsi="Verdana" w:cs="Arial"/>
                <w:b w:val="0"/>
                <w:bCs w:val="0"/>
                <w:sz w:val="20"/>
                <w:szCs w:val="20"/>
              </w:rPr>
            </w:pPr>
          </w:p>
        </w:tc>
      </w:tr>
      <w:tr w:rsidR="00D472D3" w:rsidRPr="00DB6E61" w14:paraId="50F6DC1E" w14:textId="77777777" w:rsidTr="00FD636D">
        <w:tc>
          <w:tcPr>
            <w:tcW w:w="1336" w:type="dxa"/>
            <w:shd w:val="clear" w:color="auto" w:fill="FBE4D5" w:themeFill="accent2" w:themeFillTint="33"/>
          </w:tcPr>
          <w:p w14:paraId="44487B1E" w14:textId="499812F8" w:rsidR="00D472D3" w:rsidRPr="00DB6E61" w:rsidRDefault="00D472D3"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Exécution</w:t>
            </w:r>
          </w:p>
        </w:tc>
        <w:tc>
          <w:tcPr>
            <w:tcW w:w="2552" w:type="dxa"/>
          </w:tcPr>
          <w:p w14:paraId="25EDBA6E" w14:textId="77777777" w:rsidR="00D472D3" w:rsidRPr="00DB6E61" w:rsidRDefault="005D3C0D"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Exécution cantonale</w:t>
            </w:r>
          </w:p>
          <w:p w14:paraId="16A266A8" w14:textId="77777777" w:rsidR="005D3C0D" w:rsidRPr="00DB6E61" w:rsidRDefault="005D3C0D"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Haute surveillance de la Confédération</w:t>
            </w:r>
          </w:p>
          <w:p w14:paraId="2BA8086A" w14:textId="1F26A883" w:rsidR="005D3C0D" w:rsidRPr="00DB6E61" w:rsidRDefault="005D3C0D"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Exécution fédérale dans des domaines spéciaux</w:t>
            </w:r>
          </w:p>
        </w:tc>
        <w:tc>
          <w:tcPr>
            <w:tcW w:w="2435" w:type="dxa"/>
          </w:tcPr>
          <w:p w14:paraId="3904FB81" w14:textId="77777777" w:rsidR="00D472D3" w:rsidRPr="00DB6E61" w:rsidRDefault="005D3C0D"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Directives de la Confédération</w:t>
            </w:r>
          </w:p>
          <w:p w14:paraId="632ACF6C" w14:textId="77777777" w:rsidR="00ED6FE5" w:rsidRPr="00DB6E61" w:rsidRDefault="00ED6FE5"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Marge de manœuvre prévue par la loi</w:t>
            </w:r>
          </w:p>
          <w:p w14:paraId="3C3466CB" w14:textId="77777777" w:rsidR="00ED6FE5" w:rsidRPr="00DB6E61" w:rsidRDefault="00ED6FE5"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Exécution cantonale</w:t>
            </w:r>
          </w:p>
          <w:p w14:paraId="68578E2A" w14:textId="513BFEE9" w:rsidR="00ED6FE5" w:rsidRPr="00DB6E61" w:rsidRDefault="00ED6FE5"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Exécution fédérale dans des domaines spéciaux</w:t>
            </w:r>
          </w:p>
        </w:tc>
        <w:tc>
          <w:tcPr>
            <w:tcW w:w="2526" w:type="dxa"/>
          </w:tcPr>
          <w:p w14:paraId="06EB2E31" w14:textId="77777777" w:rsidR="00D472D3" w:rsidRPr="00DB6E61" w:rsidRDefault="00ED6FE5"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Directives du CF</w:t>
            </w:r>
          </w:p>
          <w:p w14:paraId="01F5E24A" w14:textId="1EF5E802" w:rsidR="00ED6FE5" w:rsidRPr="00DB6E61" w:rsidRDefault="00ED6FE5" w:rsidP="00DE154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Mandat d’exécution donné aux cantons</w:t>
            </w:r>
          </w:p>
        </w:tc>
      </w:tr>
      <w:tr w:rsidR="007C2465" w:rsidRPr="00DB6E61" w14:paraId="6F78CB7F" w14:textId="77777777" w:rsidTr="00FD636D">
        <w:tc>
          <w:tcPr>
            <w:tcW w:w="1336" w:type="dxa"/>
            <w:shd w:val="clear" w:color="auto" w:fill="FBE4D5" w:themeFill="accent2" w:themeFillTint="33"/>
          </w:tcPr>
          <w:p w14:paraId="1AF55008" w14:textId="2C04E01A" w:rsidR="007C2465" w:rsidRPr="00DB6E61" w:rsidRDefault="007C2465"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Décision</w:t>
            </w:r>
          </w:p>
        </w:tc>
        <w:tc>
          <w:tcPr>
            <w:tcW w:w="2552" w:type="dxa"/>
          </w:tcPr>
          <w:p w14:paraId="500C0225" w14:textId="77777777" w:rsidR="007C2465" w:rsidRPr="00DB6E61" w:rsidRDefault="007C2465" w:rsidP="005444E9">
            <w:pPr>
              <w:spacing w:before="120" w:after="120" w:line="276" w:lineRule="auto"/>
              <w:jc w:val="both"/>
              <w:rPr>
                <w:rStyle w:val="lev"/>
                <w:rFonts w:ascii="Verdana" w:hAnsi="Verdana" w:cs="Arial"/>
                <w:b w:val="0"/>
                <w:bCs w:val="0"/>
                <w:sz w:val="20"/>
                <w:szCs w:val="20"/>
              </w:rPr>
            </w:pPr>
          </w:p>
        </w:tc>
        <w:tc>
          <w:tcPr>
            <w:tcW w:w="2435" w:type="dxa"/>
          </w:tcPr>
          <w:p w14:paraId="77BB2AF7" w14:textId="35144CB1" w:rsidR="007C2465" w:rsidRPr="00DB6E61" w:rsidRDefault="007C2465"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CF</w:t>
            </w:r>
          </w:p>
        </w:tc>
        <w:tc>
          <w:tcPr>
            <w:tcW w:w="2526" w:type="dxa"/>
          </w:tcPr>
          <w:p w14:paraId="626C4AA7" w14:textId="2EEDB444" w:rsidR="007C2465" w:rsidRPr="00DB6E61" w:rsidRDefault="007C2465"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CF</w:t>
            </w:r>
          </w:p>
        </w:tc>
      </w:tr>
      <w:tr w:rsidR="007C2465" w:rsidRPr="00DB6E61" w14:paraId="11575924" w14:textId="77777777" w:rsidTr="00FD636D">
        <w:tc>
          <w:tcPr>
            <w:tcW w:w="1336" w:type="dxa"/>
            <w:shd w:val="clear" w:color="auto" w:fill="FBE4D5" w:themeFill="accent2" w:themeFillTint="33"/>
          </w:tcPr>
          <w:p w14:paraId="6AAF0772" w14:textId="1BC6103D" w:rsidR="007C2465" w:rsidRPr="00DB6E61" w:rsidRDefault="007C2465" w:rsidP="005444E9">
            <w:pPr>
              <w:spacing w:before="120" w:after="120" w:line="276" w:lineRule="auto"/>
              <w:jc w:val="both"/>
              <w:rPr>
                <w:rStyle w:val="lev"/>
                <w:rFonts w:ascii="Verdana" w:hAnsi="Verdana" w:cs="Arial"/>
                <w:sz w:val="20"/>
                <w:szCs w:val="20"/>
              </w:rPr>
            </w:pPr>
            <w:r w:rsidRPr="00DB6E61">
              <w:rPr>
                <w:rStyle w:val="lev"/>
                <w:rFonts w:ascii="Verdana" w:hAnsi="Verdana" w:cs="Arial"/>
                <w:sz w:val="20"/>
                <w:szCs w:val="20"/>
              </w:rPr>
              <w:t>COVID-19</w:t>
            </w:r>
          </w:p>
        </w:tc>
        <w:tc>
          <w:tcPr>
            <w:tcW w:w="2552" w:type="dxa"/>
          </w:tcPr>
          <w:p w14:paraId="57BD86EA" w14:textId="77777777" w:rsidR="007C2465" w:rsidRPr="00DB6E61" w:rsidRDefault="007C2465" w:rsidP="005444E9">
            <w:pPr>
              <w:spacing w:before="120" w:after="120" w:line="276" w:lineRule="auto"/>
              <w:jc w:val="both"/>
              <w:rPr>
                <w:rStyle w:val="lev"/>
                <w:rFonts w:ascii="Verdana" w:hAnsi="Verdana" w:cs="Arial"/>
                <w:b w:val="0"/>
                <w:bCs w:val="0"/>
                <w:sz w:val="20"/>
                <w:szCs w:val="20"/>
              </w:rPr>
            </w:pPr>
          </w:p>
        </w:tc>
        <w:tc>
          <w:tcPr>
            <w:tcW w:w="2435" w:type="dxa"/>
          </w:tcPr>
          <w:p w14:paraId="1CEDAB6E" w14:textId="661D41C9" w:rsidR="00106E50" w:rsidRPr="00DB6E61" w:rsidRDefault="00AA2F85" w:rsidP="005F6423">
            <w:pPr>
              <w:spacing w:before="120" w:after="120" w:line="276" w:lineRule="auto"/>
              <w:rPr>
                <w:rStyle w:val="lev"/>
                <w:rFonts w:ascii="Verdana" w:hAnsi="Verdana" w:cs="Arial"/>
                <w:b w:val="0"/>
                <w:bCs w:val="0"/>
                <w:sz w:val="20"/>
                <w:szCs w:val="20"/>
              </w:rPr>
            </w:pPr>
            <w:r w:rsidRPr="00DB6E61">
              <w:rPr>
                <w:rStyle w:val="lev"/>
                <w:rFonts w:ascii="Verdana" w:hAnsi="Verdana" w:cs="Arial"/>
                <w:b w:val="0"/>
                <w:bCs w:val="0"/>
                <w:sz w:val="20"/>
                <w:szCs w:val="20"/>
              </w:rPr>
              <w:t>Plusieurs ordonnances avec échéance à 6 mois</w:t>
            </w:r>
            <w:r w:rsidR="00FE7E76" w:rsidRPr="00DB6E61">
              <w:rPr>
                <w:rStyle w:val="lev"/>
                <w:rFonts w:ascii="Verdana" w:hAnsi="Verdana" w:cs="Arial"/>
                <w:b w:val="0"/>
                <w:bCs w:val="0"/>
                <w:sz w:val="20"/>
                <w:szCs w:val="20"/>
              </w:rPr>
              <w:t xml:space="preserve">, base légale art. </w:t>
            </w:r>
            <w:r w:rsidR="00C12883" w:rsidRPr="00DB6E61">
              <w:rPr>
                <w:rStyle w:val="lev"/>
                <w:rFonts w:ascii="Verdana" w:hAnsi="Verdana" w:cs="Arial"/>
                <w:b w:val="0"/>
                <w:bCs w:val="0"/>
                <w:sz w:val="20"/>
                <w:szCs w:val="20"/>
              </w:rPr>
              <w:t xml:space="preserve">185 Cst. </w:t>
            </w:r>
            <w:r w:rsidR="00055651" w:rsidRPr="00DB6E61">
              <w:rPr>
                <w:rStyle w:val="lev"/>
                <w:rFonts w:ascii="Verdana" w:hAnsi="Verdana" w:cs="Arial"/>
                <w:b w:val="0"/>
                <w:bCs w:val="0"/>
                <w:sz w:val="20"/>
                <w:szCs w:val="20"/>
              </w:rPr>
              <w:t>Puis</w:t>
            </w:r>
            <w:r w:rsidR="00C12883" w:rsidRPr="00DB6E61">
              <w:rPr>
                <w:rStyle w:val="lev"/>
                <w:rFonts w:ascii="Verdana" w:hAnsi="Verdana" w:cs="Arial"/>
                <w:b w:val="0"/>
                <w:bCs w:val="0"/>
                <w:sz w:val="20"/>
                <w:szCs w:val="20"/>
              </w:rPr>
              <w:t xml:space="preserve"> Loi Covid 09.2020</w:t>
            </w:r>
            <w:r w:rsidR="00547E39" w:rsidRPr="00DB6E61">
              <w:rPr>
                <w:rStyle w:val="lev"/>
                <w:rFonts w:ascii="Verdana" w:hAnsi="Verdana" w:cs="Arial"/>
                <w:b w:val="0"/>
                <w:bCs w:val="0"/>
                <w:sz w:val="20"/>
                <w:szCs w:val="20"/>
              </w:rPr>
              <w:t xml:space="preserve"> </w:t>
            </w:r>
            <w:r w:rsidR="007C17E2" w:rsidRPr="00DB6E61">
              <w:rPr>
                <w:rStyle w:val="lev"/>
                <w:rFonts w:ascii="Verdana" w:hAnsi="Verdana" w:cs="Arial"/>
                <w:b w:val="0"/>
                <w:bCs w:val="0"/>
                <w:sz w:val="20"/>
                <w:szCs w:val="20"/>
              </w:rPr>
              <w:t>(nécessaire pour que les ordonnances puissent rester valides jusqu’à la fin estimée de la pandémi</w:t>
            </w:r>
            <w:r w:rsidR="003B0359" w:rsidRPr="00DB6E61">
              <w:rPr>
                <w:rStyle w:val="lev"/>
                <w:rFonts w:ascii="Verdana" w:hAnsi="Verdana" w:cs="Arial"/>
                <w:b w:val="0"/>
                <w:bCs w:val="0"/>
                <w:sz w:val="20"/>
                <w:szCs w:val="20"/>
              </w:rPr>
              <w:t>e et l’échéance de la nouvelle loi</w:t>
            </w:r>
            <w:r w:rsidR="007C17E2" w:rsidRPr="00DB6E61">
              <w:rPr>
                <w:rStyle w:val="lev"/>
                <w:rFonts w:ascii="Verdana" w:hAnsi="Verdana" w:cs="Arial"/>
                <w:b w:val="0"/>
                <w:bCs w:val="0"/>
                <w:sz w:val="20"/>
                <w:szCs w:val="20"/>
              </w:rPr>
              <w:t xml:space="preserve"> (</w:t>
            </w:r>
            <w:r w:rsidR="00C43B6E" w:rsidRPr="00DB6E61">
              <w:rPr>
                <w:rStyle w:val="lev"/>
                <w:rFonts w:ascii="Verdana" w:hAnsi="Verdana" w:cs="Arial"/>
                <w:b w:val="0"/>
                <w:bCs w:val="0"/>
                <w:sz w:val="20"/>
                <w:szCs w:val="20"/>
              </w:rPr>
              <w:t>31.</w:t>
            </w:r>
            <w:r w:rsidR="003B0359" w:rsidRPr="00DB6E61">
              <w:rPr>
                <w:rStyle w:val="lev"/>
                <w:rFonts w:ascii="Verdana" w:hAnsi="Verdana" w:cs="Arial"/>
                <w:b w:val="0"/>
                <w:bCs w:val="0"/>
                <w:sz w:val="20"/>
                <w:szCs w:val="20"/>
              </w:rPr>
              <w:t>12</w:t>
            </w:r>
            <w:r w:rsidR="00C43B6E" w:rsidRPr="00DB6E61">
              <w:rPr>
                <w:rStyle w:val="lev"/>
                <w:rFonts w:ascii="Verdana" w:hAnsi="Verdana" w:cs="Arial"/>
                <w:b w:val="0"/>
                <w:bCs w:val="0"/>
                <w:sz w:val="20"/>
                <w:szCs w:val="20"/>
              </w:rPr>
              <w:t>.</w:t>
            </w:r>
            <w:r w:rsidR="003B0359" w:rsidRPr="00DB6E61">
              <w:rPr>
                <w:rStyle w:val="lev"/>
                <w:rFonts w:ascii="Verdana" w:hAnsi="Verdana" w:cs="Arial"/>
                <w:b w:val="0"/>
                <w:bCs w:val="0"/>
                <w:sz w:val="20"/>
                <w:szCs w:val="20"/>
              </w:rPr>
              <w:t>2021)</w:t>
            </w:r>
          </w:p>
        </w:tc>
        <w:tc>
          <w:tcPr>
            <w:tcW w:w="2526" w:type="dxa"/>
          </w:tcPr>
          <w:p w14:paraId="64D66E6E" w14:textId="28078C16" w:rsidR="007C2465" w:rsidRPr="00DB6E61" w:rsidRDefault="00AA2F85" w:rsidP="005444E9">
            <w:pPr>
              <w:spacing w:before="120" w:after="120" w:line="276" w:lineRule="auto"/>
              <w:jc w:val="both"/>
              <w:rPr>
                <w:rStyle w:val="lev"/>
                <w:rFonts w:ascii="Verdana" w:hAnsi="Verdana" w:cs="Arial"/>
                <w:b w:val="0"/>
                <w:bCs w:val="0"/>
                <w:sz w:val="20"/>
                <w:szCs w:val="20"/>
              </w:rPr>
            </w:pPr>
            <w:r w:rsidRPr="00DB6E61">
              <w:rPr>
                <w:rStyle w:val="lev"/>
                <w:rFonts w:ascii="Verdana" w:hAnsi="Verdana" w:cs="Arial"/>
                <w:b w:val="0"/>
                <w:bCs w:val="0"/>
                <w:sz w:val="20"/>
                <w:szCs w:val="20"/>
              </w:rPr>
              <w:t xml:space="preserve">Ordonnance 2 du 13 mars 2020 </w:t>
            </w:r>
          </w:p>
        </w:tc>
      </w:tr>
    </w:tbl>
    <w:p w14:paraId="6AF5FC0A" w14:textId="0F32AEC0" w:rsidR="00E105E8" w:rsidRPr="00DB6E61" w:rsidRDefault="00E105E8" w:rsidP="005444E9">
      <w:pPr>
        <w:spacing w:before="120" w:after="120" w:line="276" w:lineRule="auto"/>
        <w:jc w:val="both"/>
        <w:rPr>
          <w:rFonts w:ascii="Verdana" w:hAnsi="Verdana" w:cs="Arial"/>
          <w:sz w:val="20"/>
          <w:szCs w:val="20"/>
        </w:rPr>
      </w:pPr>
      <w:r w:rsidRPr="00DB6E61">
        <w:rPr>
          <w:rFonts w:ascii="Verdana" w:hAnsi="Verdana" w:cs="Arial"/>
          <w:b/>
          <w:bCs/>
          <w:sz w:val="20"/>
          <w:szCs w:val="20"/>
        </w:rPr>
        <w:lastRenderedPageBreak/>
        <w:t xml:space="preserve">Situation particulière </w:t>
      </w:r>
      <w:r w:rsidRPr="00DB6E61">
        <w:rPr>
          <w:rFonts w:ascii="Verdana" w:hAnsi="Verdana" w:cs="Arial"/>
          <w:sz w:val="20"/>
          <w:szCs w:val="20"/>
        </w:rPr>
        <w:t>(</w:t>
      </w:r>
      <w:hyperlink r:id="rId24" w:anchor="art_6" w:history="1">
        <w:r w:rsidRPr="004A4725">
          <w:rPr>
            <w:rStyle w:val="Lienhypertexte"/>
            <w:rFonts w:ascii="Verdana" w:hAnsi="Verdana" w:cs="Arial"/>
            <w:sz w:val="20"/>
            <w:szCs w:val="20"/>
          </w:rPr>
          <w:t xml:space="preserve">art. 6 al. 1 </w:t>
        </w:r>
        <w:proofErr w:type="spellStart"/>
        <w:r w:rsidRPr="004A4725">
          <w:rPr>
            <w:rStyle w:val="Lienhypertexte"/>
            <w:rFonts w:ascii="Verdana" w:hAnsi="Verdana" w:cs="Arial"/>
            <w:sz w:val="20"/>
            <w:szCs w:val="20"/>
          </w:rPr>
          <w:t>LEp</w:t>
        </w:r>
        <w:proofErr w:type="spellEnd"/>
      </w:hyperlink>
      <w:r w:rsidRPr="00DB6E61">
        <w:rPr>
          <w:rFonts w:ascii="Verdana" w:hAnsi="Verdana" w:cs="Arial"/>
          <w:sz w:val="20"/>
          <w:szCs w:val="20"/>
        </w:rPr>
        <w:t xml:space="preserve">) </w:t>
      </w:r>
    </w:p>
    <w:p w14:paraId="79B8842A" w14:textId="4443C982"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Elle est donnée lorsque </w:t>
      </w:r>
    </w:p>
    <w:p w14:paraId="1717924A" w14:textId="2C43221D" w:rsidR="00E105E8" w:rsidRPr="00DB6E61" w:rsidRDefault="00E105E8" w:rsidP="005444E9">
      <w:pPr>
        <w:spacing w:before="120" w:after="120" w:line="276" w:lineRule="auto"/>
        <w:jc w:val="both"/>
        <w:rPr>
          <w:rFonts w:ascii="Verdana" w:eastAsia="Times New Roman" w:hAnsi="Verdana" w:cs="Arial"/>
          <w:i/>
          <w:iCs/>
          <w:sz w:val="20"/>
          <w:szCs w:val="20"/>
          <w:lang w:eastAsia="fr-FR"/>
        </w:rPr>
      </w:pPr>
      <w:r w:rsidRPr="00DB6E61">
        <w:rPr>
          <w:rFonts w:ascii="Verdana" w:eastAsia="Times New Roman" w:hAnsi="Verdana" w:cs="Arial"/>
          <w:i/>
          <w:iCs/>
          <w:sz w:val="20"/>
          <w:szCs w:val="20"/>
          <w:lang w:eastAsia="fr-FR"/>
        </w:rPr>
        <w:t xml:space="preserve">a. les organes d’exécution ordinaires ne sont pas en mesure de prévenir et de combattre l’apparition et la propagation d’une maladie transmissible et qu’il existe l’un des risques </w:t>
      </w:r>
      <w:r w:rsidR="00905031" w:rsidRPr="00DB6E61">
        <w:rPr>
          <w:rFonts w:ascii="Verdana" w:eastAsia="Times New Roman" w:hAnsi="Verdana" w:cs="Arial"/>
          <w:i/>
          <w:iCs/>
          <w:sz w:val="20"/>
          <w:szCs w:val="20"/>
          <w:lang w:eastAsia="fr-FR"/>
        </w:rPr>
        <w:t>suivants :</w:t>
      </w:r>
      <w:r w:rsidRPr="00DB6E61">
        <w:rPr>
          <w:rFonts w:ascii="Verdana" w:eastAsia="Times New Roman" w:hAnsi="Verdana" w:cs="Arial"/>
          <w:i/>
          <w:iCs/>
          <w:sz w:val="20"/>
          <w:szCs w:val="20"/>
          <w:lang w:eastAsia="fr-FR"/>
        </w:rPr>
        <w:t xml:space="preserve"> </w:t>
      </w:r>
    </w:p>
    <w:p w14:paraId="6FBC0DF7" w14:textId="361ACE87" w:rsidR="00E105E8" w:rsidRPr="00DB6E61" w:rsidRDefault="00E105E8" w:rsidP="005444E9">
      <w:pPr>
        <w:spacing w:before="120" w:after="120" w:line="276" w:lineRule="auto"/>
        <w:ind w:left="720"/>
        <w:jc w:val="both"/>
        <w:rPr>
          <w:rFonts w:ascii="Verdana" w:eastAsia="Times New Roman" w:hAnsi="Verdana" w:cs="Arial"/>
          <w:i/>
          <w:iCs/>
          <w:sz w:val="20"/>
          <w:szCs w:val="20"/>
          <w:lang w:eastAsia="fr-FR"/>
        </w:rPr>
      </w:pPr>
      <w:r w:rsidRPr="00DB6E61">
        <w:rPr>
          <w:rFonts w:ascii="Verdana" w:eastAsia="Times New Roman" w:hAnsi="Verdana" w:cs="Arial"/>
          <w:i/>
          <w:iCs/>
          <w:sz w:val="20"/>
          <w:szCs w:val="20"/>
          <w:lang w:eastAsia="fr-FR"/>
        </w:rPr>
        <w:t>1. un risque élevé d’infection et de propagation,</w:t>
      </w:r>
    </w:p>
    <w:p w14:paraId="28471A07" w14:textId="52CEB9FE" w:rsidR="00E105E8" w:rsidRPr="00DB6E61" w:rsidRDefault="00E105E8" w:rsidP="005444E9">
      <w:pPr>
        <w:spacing w:before="120" w:after="120" w:line="276" w:lineRule="auto"/>
        <w:ind w:left="720"/>
        <w:jc w:val="both"/>
        <w:rPr>
          <w:rFonts w:ascii="Verdana" w:eastAsia="Times New Roman" w:hAnsi="Verdana" w:cs="Arial"/>
          <w:i/>
          <w:iCs/>
          <w:sz w:val="20"/>
          <w:szCs w:val="20"/>
          <w:lang w:eastAsia="fr-FR"/>
        </w:rPr>
      </w:pPr>
      <w:r w:rsidRPr="00DB6E61">
        <w:rPr>
          <w:rFonts w:ascii="Verdana" w:eastAsia="Times New Roman" w:hAnsi="Verdana" w:cs="Arial"/>
          <w:i/>
          <w:iCs/>
          <w:sz w:val="20"/>
          <w:szCs w:val="20"/>
          <w:lang w:eastAsia="fr-FR"/>
        </w:rPr>
        <w:t>2. un risque spécifique pour la santé publique,</w:t>
      </w:r>
    </w:p>
    <w:p w14:paraId="7F15CA07" w14:textId="3777F2F4" w:rsidR="00E105E8" w:rsidRPr="00DB6E61" w:rsidRDefault="00E105E8" w:rsidP="005444E9">
      <w:pPr>
        <w:spacing w:before="120" w:after="120" w:line="276" w:lineRule="auto"/>
        <w:ind w:left="720"/>
        <w:jc w:val="both"/>
        <w:rPr>
          <w:rFonts w:ascii="Verdana" w:eastAsia="Times New Roman" w:hAnsi="Verdana" w:cs="Arial"/>
          <w:i/>
          <w:iCs/>
          <w:sz w:val="20"/>
          <w:szCs w:val="20"/>
          <w:lang w:eastAsia="fr-FR"/>
        </w:rPr>
      </w:pPr>
      <w:r w:rsidRPr="00DB6E61">
        <w:rPr>
          <w:rFonts w:ascii="Verdana" w:eastAsia="Times New Roman" w:hAnsi="Verdana" w:cs="Arial"/>
          <w:i/>
          <w:iCs/>
          <w:sz w:val="20"/>
          <w:szCs w:val="20"/>
          <w:lang w:eastAsia="fr-FR"/>
        </w:rPr>
        <w:t>3. un risque de graves répercussions sur l’économie ou sur d’autres secteurs vitaux;</w:t>
      </w:r>
    </w:p>
    <w:p w14:paraId="16556913" w14:textId="7BB11853" w:rsidR="00E105E8" w:rsidRPr="00DB6E61" w:rsidRDefault="00E105E8" w:rsidP="005444E9">
      <w:pPr>
        <w:spacing w:before="120" w:after="120" w:line="276" w:lineRule="auto"/>
        <w:jc w:val="both"/>
        <w:rPr>
          <w:rFonts w:ascii="Verdana" w:eastAsia="Times New Roman" w:hAnsi="Verdana" w:cs="Arial"/>
          <w:i/>
          <w:iCs/>
          <w:sz w:val="20"/>
          <w:szCs w:val="20"/>
          <w:lang w:eastAsia="fr-FR"/>
        </w:rPr>
      </w:pPr>
      <w:r w:rsidRPr="00DB6E61">
        <w:rPr>
          <w:rFonts w:ascii="Verdana" w:eastAsia="Times New Roman" w:hAnsi="Verdana" w:cs="Arial"/>
          <w:i/>
          <w:iCs/>
          <w:sz w:val="20"/>
          <w:szCs w:val="20"/>
          <w:lang w:eastAsia="fr-FR"/>
        </w:rPr>
        <w:t>b. l’Organisation mondiale de la santé (OMS) a constaté la présence d’une urgence sanitaire de portée internationale menaçant la santé de la population en Suisse.</w:t>
      </w:r>
    </w:p>
    <w:p w14:paraId="7B8E0D74" w14:textId="25627B48" w:rsidR="00E105E8" w:rsidRPr="00DB6E61" w:rsidRDefault="00E105E8" w:rsidP="005444E9">
      <w:pPr>
        <w:spacing w:before="120" w:after="120" w:line="276" w:lineRule="auto"/>
        <w:jc w:val="both"/>
        <w:rPr>
          <w:rFonts w:ascii="Verdana" w:hAnsi="Verdana" w:cs="Arial"/>
          <w:sz w:val="20"/>
          <w:szCs w:val="20"/>
        </w:rPr>
      </w:pPr>
      <w:r w:rsidRPr="00DB6E61">
        <w:rPr>
          <w:rFonts w:ascii="Verdana" w:hAnsi="Verdana" w:cs="Arial"/>
          <w:sz w:val="20"/>
          <w:szCs w:val="20"/>
        </w:rPr>
        <w:t xml:space="preserve">Elle a entraîné l’adoption d’une ordonnance (Covid 19, </w:t>
      </w:r>
      <w:hyperlink r:id="rId25" w:history="1">
        <w:r w:rsidRPr="00E17881">
          <w:rPr>
            <w:rStyle w:val="Lienhypertexte"/>
            <w:rFonts w:ascii="Verdana" w:hAnsi="Verdana" w:cs="Arial"/>
            <w:sz w:val="20"/>
            <w:szCs w:val="20"/>
          </w:rPr>
          <w:t>RS 818.101.24</w:t>
        </w:r>
      </w:hyperlink>
      <w:r w:rsidRPr="00DB6E61">
        <w:rPr>
          <w:rFonts w:ascii="Verdana" w:hAnsi="Verdana" w:cs="Arial"/>
          <w:sz w:val="20"/>
          <w:szCs w:val="20"/>
        </w:rPr>
        <w:t xml:space="preserve">) le 28 février 2020 sur les mesures destinées à lutter contre le coronavirus ; elle a été abrogée. </w:t>
      </w:r>
    </w:p>
    <w:p w14:paraId="6130904B" w14:textId="2EF8F10B" w:rsidR="00E105E8" w:rsidRPr="00DB6E61" w:rsidRDefault="00E105E8" w:rsidP="005444E9">
      <w:pPr>
        <w:spacing w:before="120" w:after="120" w:line="276" w:lineRule="auto"/>
        <w:jc w:val="both"/>
        <w:rPr>
          <w:rFonts w:ascii="Verdana" w:hAnsi="Verdana" w:cs="Arial"/>
          <w:sz w:val="20"/>
          <w:szCs w:val="20"/>
        </w:rPr>
      </w:pPr>
      <w:r w:rsidRPr="00DB6E61">
        <w:rPr>
          <w:rFonts w:ascii="Verdana" w:hAnsi="Verdana" w:cs="Arial"/>
          <w:sz w:val="20"/>
          <w:szCs w:val="20"/>
        </w:rPr>
        <w:t>Dans un tel cas, le Conseil fédéral peut, après avoir consulté les cantons (</w:t>
      </w:r>
      <w:hyperlink r:id="rId26" w:anchor="art_6" w:history="1">
        <w:r w:rsidRPr="004A4725">
          <w:rPr>
            <w:rStyle w:val="Lienhypertexte"/>
            <w:rFonts w:ascii="Verdana" w:hAnsi="Verdana" w:cs="Arial"/>
            <w:sz w:val="20"/>
            <w:szCs w:val="20"/>
          </w:rPr>
          <w:t xml:space="preserve">art. 6 al. 1 </w:t>
        </w:r>
        <w:proofErr w:type="spellStart"/>
        <w:r w:rsidRPr="004A4725">
          <w:rPr>
            <w:rStyle w:val="Lienhypertexte"/>
            <w:rFonts w:ascii="Verdana" w:hAnsi="Verdana" w:cs="Arial"/>
            <w:sz w:val="20"/>
            <w:szCs w:val="20"/>
          </w:rPr>
          <w:t>LEp</w:t>
        </w:r>
        <w:proofErr w:type="spellEnd"/>
      </w:hyperlink>
      <w:r w:rsidRPr="00DB6E61">
        <w:rPr>
          <w:rFonts w:ascii="Verdana" w:hAnsi="Verdana" w:cs="Arial"/>
          <w:sz w:val="20"/>
          <w:szCs w:val="20"/>
        </w:rPr>
        <w:t xml:space="preserve">), </w:t>
      </w:r>
    </w:p>
    <w:p w14:paraId="7ACB4E78" w14:textId="3797ED93"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a. ordonner des mesures visant des </w:t>
      </w:r>
      <w:r w:rsidR="00905031" w:rsidRPr="00DB6E61">
        <w:rPr>
          <w:rFonts w:ascii="Verdana" w:eastAsia="Times New Roman" w:hAnsi="Verdana" w:cs="Arial"/>
          <w:sz w:val="20"/>
          <w:szCs w:val="20"/>
          <w:lang w:eastAsia="fr-FR"/>
        </w:rPr>
        <w:t>individus ;</w:t>
      </w:r>
    </w:p>
    <w:p w14:paraId="41A5BF23" w14:textId="3FF0E726"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b. ordonner des mesures visant la </w:t>
      </w:r>
      <w:r w:rsidR="00905031" w:rsidRPr="00DB6E61">
        <w:rPr>
          <w:rFonts w:ascii="Verdana" w:eastAsia="Times New Roman" w:hAnsi="Verdana" w:cs="Arial"/>
          <w:sz w:val="20"/>
          <w:szCs w:val="20"/>
          <w:lang w:eastAsia="fr-FR"/>
        </w:rPr>
        <w:t>population ;</w:t>
      </w:r>
    </w:p>
    <w:p w14:paraId="09E96E15" w14:textId="2863E859"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c. astreindre les médecins et d’autres professionnels de la santé à participer à la lutte contre les maladies </w:t>
      </w:r>
      <w:r w:rsidR="00905031" w:rsidRPr="00DB6E61">
        <w:rPr>
          <w:rFonts w:ascii="Verdana" w:eastAsia="Times New Roman" w:hAnsi="Verdana" w:cs="Arial"/>
          <w:sz w:val="20"/>
          <w:szCs w:val="20"/>
          <w:lang w:eastAsia="fr-FR"/>
        </w:rPr>
        <w:t>transmissibles ;</w:t>
      </w:r>
    </w:p>
    <w:p w14:paraId="79807C3F" w14:textId="23015F43"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d. </w:t>
      </w:r>
      <w:r w:rsidRPr="00DB6E61">
        <w:rPr>
          <w:rFonts w:ascii="Verdana" w:eastAsia="Times New Roman" w:hAnsi="Verdana" w:cs="Arial"/>
          <w:b/>
          <w:bCs/>
          <w:sz w:val="20"/>
          <w:szCs w:val="20"/>
          <w:lang w:eastAsia="fr-FR"/>
        </w:rPr>
        <w:t>déclarer obligatoires des vaccinations</w:t>
      </w:r>
      <w:r w:rsidRPr="00DB6E61">
        <w:rPr>
          <w:rFonts w:ascii="Verdana" w:eastAsia="Times New Roman" w:hAnsi="Verdana" w:cs="Arial"/>
          <w:sz w:val="20"/>
          <w:szCs w:val="20"/>
          <w:lang w:eastAsia="fr-FR"/>
        </w:rPr>
        <w:t xml:space="preserve"> pour les groupes de population en danger, les personnes particulièrement exposées et les personnes exerçant certaines activités.</w:t>
      </w:r>
    </w:p>
    <w:p w14:paraId="04C09974" w14:textId="7D12ED16" w:rsidR="00E105E8" w:rsidRPr="00DB6E61" w:rsidRDefault="00E105E8" w:rsidP="005444E9">
      <w:pPr>
        <w:spacing w:before="120" w:after="120" w:line="276" w:lineRule="auto"/>
        <w:jc w:val="both"/>
        <w:rPr>
          <w:rFonts w:ascii="Verdana" w:hAnsi="Verdana" w:cs="Arial"/>
          <w:sz w:val="20"/>
          <w:szCs w:val="20"/>
        </w:rPr>
      </w:pPr>
      <w:r w:rsidRPr="00DB6E61">
        <w:rPr>
          <w:rFonts w:ascii="Verdana" w:hAnsi="Verdana" w:cs="Arial"/>
          <w:b/>
          <w:bCs/>
          <w:sz w:val="20"/>
          <w:szCs w:val="20"/>
        </w:rPr>
        <w:t>Situation extraordinaire</w:t>
      </w:r>
      <w:r w:rsidRPr="00DB6E61">
        <w:rPr>
          <w:rFonts w:ascii="Verdana" w:hAnsi="Verdana" w:cs="Arial"/>
          <w:sz w:val="20"/>
          <w:szCs w:val="20"/>
        </w:rPr>
        <w:t xml:space="preserve"> (</w:t>
      </w:r>
      <w:hyperlink r:id="rId27" w:anchor="art_7" w:history="1">
        <w:r w:rsidRPr="00452693">
          <w:rPr>
            <w:rStyle w:val="Lienhypertexte"/>
            <w:rFonts w:ascii="Verdana" w:hAnsi="Verdana" w:cs="Arial"/>
            <w:sz w:val="20"/>
            <w:szCs w:val="20"/>
          </w:rPr>
          <w:t xml:space="preserve">art. 7 </w:t>
        </w:r>
        <w:proofErr w:type="spellStart"/>
        <w:r w:rsidRPr="00452693">
          <w:rPr>
            <w:rStyle w:val="Lienhypertexte"/>
            <w:rFonts w:ascii="Verdana" w:hAnsi="Verdana" w:cs="Arial"/>
            <w:sz w:val="20"/>
            <w:szCs w:val="20"/>
          </w:rPr>
          <w:t>LEp</w:t>
        </w:r>
        <w:proofErr w:type="spellEnd"/>
      </w:hyperlink>
      <w:r w:rsidRPr="00DB6E61">
        <w:rPr>
          <w:rFonts w:ascii="Verdana" w:hAnsi="Verdana" w:cs="Arial"/>
          <w:sz w:val="20"/>
          <w:szCs w:val="20"/>
        </w:rPr>
        <w:t xml:space="preserve">) </w:t>
      </w:r>
    </w:p>
    <w:p w14:paraId="58DCD29F" w14:textId="021D5238"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i/>
          <w:iCs/>
          <w:sz w:val="20"/>
          <w:szCs w:val="20"/>
          <w:lang w:eastAsia="fr-FR"/>
        </w:rPr>
        <w:t>Si une situation extraordinaire l’exige, le Conseil fédéral peut ordonner les mesures nécessaires pour tout ou partie du pays.</w:t>
      </w:r>
    </w:p>
    <w:p w14:paraId="68A0ADC0" w14:textId="2C3BEF1B"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Sur base fut adoptée puis abrogée l’ordonnance 2 du 13 mars 2020 sur les mesures destinées à lutter contre le coronavirus (Ordonnance 2 Covid 19). </w:t>
      </w:r>
    </w:p>
    <w:p w14:paraId="51621536" w14:textId="1023F1F1" w:rsidR="00E105E8" w:rsidRPr="00DB6E61" w:rsidRDefault="00E105E8"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Puis, à nouveau sur base de l’</w:t>
      </w:r>
      <w:hyperlink r:id="rId28" w:anchor="art_6" w:history="1">
        <w:r w:rsidRPr="00EF0E28">
          <w:rPr>
            <w:rStyle w:val="Lienhypertexte"/>
            <w:rFonts w:ascii="Verdana" w:eastAsia="Times New Roman" w:hAnsi="Verdana" w:cs="Arial"/>
            <w:sz w:val="20"/>
            <w:szCs w:val="20"/>
            <w:lang w:eastAsia="fr-FR"/>
          </w:rPr>
          <w:t xml:space="preserve">art. 6 </w:t>
        </w:r>
        <w:proofErr w:type="spellStart"/>
        <w:r w:rsidRPr="00EF0E28">
          <w:rPr>
            <w:rStyle w:val="Lienhypertexte"/>
            <w:rFonts w:ascii="Verdana" w:eastAsia="Times New Roman" w:hAnsi="Verdana" w:cs="Arial"/>
            <w:sz w:val="20"/>
            <w:szCs w:val="20"/>
            <w:lang w:eastAsia="fr-FR"/>
          </w:rPr>
          <w:t>LEp</w:t>
        </w:r>
        <w:proofErr w:type="spellEnd"/>
      </w:hyperlink>
      <w:r w:rsidRPr="00DB6E61">
        <w:rPr>
          <w:rFonts w:ascii="Verdana" w:eastAsia="Times New Roman" w:hAnsi="Verdana" w:cs="Arial"/>
          <w:sz w:val="20"/>
          <w:szCs w:val="20"/>
          <w:lang w:eastAsia="fr-FR"/>
        </w:rPr>
        <w:t>, le Conseil fédéral a adopté l’ordonnance sur les mesures destinée à lutter contre l’épidémie de Covid 19 en situation particulière</w:t>
      </w:r>
      <w:r w:rsidR="002D3495" w:rsidRPr="00DB6E61">
        <w:rPr>
          <w:rFonts w:ascii="Verdana" w:eastAsia="Times New Roman" w:hAnsi="Verdana" w:cs="Arial"/>
          <w:sz w:val="20"/>
          <w:szCs w:val="20"/>
          <w:lang w:eastAsia="fr-FR"/>
        </w:rPr>
        <w:t>, une ordonnance 3 Covid 19 (avec pour base légale l’</w:t>
      </w:r>
      <w:hyperlink r:id="rId29" w:anchor="art_185" w:history="1">
        <w:r w:rsidR="002D3495" w:rsidRPr="001950E8">
          <w:rPr>
            <w:rStyle w:val="Lienhypertexte"/>
            <w:rFonts w:ascii="Verdana" w:eastAsia="Times New Roman" w:hAnsi="Verdana" w:cs="Arial"/>
            <w:sz w:val="20"/>
            <w:szCs w:val="20"/>
            <w:lang w:eastAsia="fr-FR"/>
          </w:rPr>
          <w:t>art. 185 Cst</w:t>
        </w:r>
      </w:hyperlink>
      <w:r w:rsidR="002D3495" w:rsidRPr="00DB6E61">
        <w:rPr>
          <w:rFonts w:ascii="Verdana" w:eastAsia="Times New Roman" w:hAnsi="Verdana" w:cs="Arial"/>
          <w:sz w:val="20"/>
          <w:szCs w:val="20"/>
          <w:lang w:eastAsia="fr-FR"/>
        </w:rPr>
        <w:t xml:space="preserve">), pour finalement une adoption de la Loi Covid en septembre 2020. </w:t>
      </w:r>
    </w:p>
    <w:p w14:paraId="42BB830B" w14:textId="7FA13828" w:rsidR="00E105E8" w:rsidRPr="00DB6E61" w:rsidRDefault="00DF4174" w:rsidP="005444E9">
      <w:pPr>
        <w:pStyle w:val="Paragraphedeliste"/>
        <w:numPr>
          <w:ilvl w:val="0"/>
          <w:numId w:val="15"/>
        </w:numPr>
        <w:spacing w:before="120" w:after="120" w:line="276" w:lineRule="auto"/>
        <w:jc w:val="both"/>
        <w:rPr>
          <w:rFonts w:ascii="Verdana" w:hAnsi="Verdana" w:cs="Arial"/>
          <w:sz w:val="20"/>
          <w:szCs w:val="20"/>
        </w:rPr>
      </w:pPr>
      <w:r w:rsidRPr="00DB6E61">
        <w:rPr>
          <w:rFonts w:ascii="Verdana" w:hAnsi="Verdana" w:cs="Arial"/>
          <w:b/>
          <w:bCs/>
          <w:sz w:val="20"/>
          <w:szCs w:val="20"/>
        </w:rPr>
        <w:t xml:space="preserve">Mesures de lutte visant </w:t>
      </w:r>
      <w:r w:rsidRPr="00DB6E61">
        <w:rPr>
          <w:rFonts w:ascii="Verdana" w:hAnsi="Verdana" w:cs="Arial"/>
          <w:b/>
          <w:bCs/>
          <w:sz w:val="20"/>
          <w:szCs w:val="20"/>
          <w:u w:val="single"/>
        </w:rPr>
        <w:t>les individus</w:t>
      </w:r>
      <w:r w:rsidRPr="00DB6E61">
        <w:rPr>
          <w:rFonts w:ascii="Verdana" w:hAnsi="Verdana" w:cs="Arial"/>
          <w:b/>
          <w:bCs/>
          <w:sz w:val="20"/>
          <w:szCs w:val="20"/>
        </w:rPr>
        <w:t xml:space="preserve"> (art. 30 à 39 </w:t>
      </w:r>
      <w:proofErr w:type="spellStart"/>
      <w:r w:rsidRPr="00DB6E61">
        <w:rPr>
          <w:rFonts w:ascii="Verdana" w:hAnsi="Verdana" w:cs="Arial"/>
          <w:b/>
          <w:bCs/>
          <w:sz w:val="20"/>
          <w:szCs w:val="20"/>
        </w:rPr>
        <w:t>LEp</w:t>
      </w:r>
      <w:proofErr w:type="spellEnd"/>
      <w:r w:rsidRPr="00DB6E61">
        <w:rPr>
          <w:rFonts w:ascii="Verdana" w:hAnsi="Verdana" w:cs="Arial"/>
          <w:b/>
          <w:bCs/>
          <w:sz w:val="20"/>
          <w:szCs w:val="20"/>
        </w:rPr>
        <w:t xml:space="preserve">) </w:t>
      </w:r>
    </w:p>
    <w:p w14:paraId="350CD3FB" w14:textId="7134BD6F" w:rsidR="00DF4174" w:rsidRPr="00DB6E61" w:rsidRDefault="00DF4174" w:rsidP="005444E9">
      <w:pPr>
        <w:spacing w:before="120" w:after="120" w:line="276" w:lineRule="auto"/>
        <w:jc w:val="both"/>
        <w:rPr>
          <w:rFonts w:ascii="Verdana" w:hAnsi="Verdana" w:cs="Arial"/>
          <w:sz w:val="20"/>
          <w:szCs w:val="20"/>
        </w:rPr>
      </w:pPr>
      <w:r w:rsidRPr="00DB6E61">
        <w:rPr>
          <w:rFonts w:ascii="Verdana" w:hAnsi="Verdana" w:cs="Arial"/>
          <w:sz w:val="20"/>
          <w:szCs w:val="20"/>
        </w:rPr>
        <w:t>Elles sont le fait des autorités cantonales (</w:t>
      </w:r>
      <w:hyperlink r:id="rId30" w:anchor="art_31" w:history="1">
        <w:r w:rsidRPr="005203E1">
          <w:rPr>
            <w:rStyle w:val="Lienhypertexte"/>
            <w:rFonts w:ascii="Verdana" w:hAnsi="Verdana" w:cs="Arial"/>
            <w:sz w:val="20"/>
            <w:szCs w:val="20"/>
          </w:rPr>
          <w:t xml:space="preserve">art. 31 al. 1 </w:t>
        </w:r>
        <w:proofErr w:type="spellStart"/>
        <w:r w:rsidRPr="005203E1">
          <w:rPr>
            <w:rStyle w:val="Lienhypertexte"/>
            <w:rFonts w:ascii="Verdana" w:hAnsi="Verdana" w:cs="Arial"/>
            <w:sz w:val="20"/>
            <w:szCs w:val="20"/>
          </w:rPr>
          <w:t>LEp</w:t>
        </w:r>
        <w:proofErr w:type="spellEnd"/>
      </w:hyperlink>
      <w:r w:rsidRPr="00DB6E61">
        <w:rPr>
          <w:rFonts w:ascii="Verdana" w:hAnsi="Verdana" w:cs="Arial"/>
          <w:sz w:val="20"/>
          <w:szCs w:val="20"/>
        </w:rPr>
        <w:t>), étant entendu que « lorsqu’une mesure est ordonnée, la personne concernée est informée des raisons de cette décision et de la durée probable de la mesure » (</w:t>
      </w:r>
      <w:hyperlink r:id="rId31" w:anchor="art_31" w:history="1">
        <w:r w:rsidRPr="005203E1">
          <w:rPr>
            <w:rStyle w:val="Lienhypertexte"/>
            <w:rFonts w:ascii="Verdana" w:hAnsi="Verdana" w:cs="Arial"/>
            <w:sz w:val="20"/>
            <w:szCs w:val="20"/>
          </w:rPr>
          <w:t xml:space="preserve">art. 31 al. 3 </w:t>
        </w:r>
        <w:proofErr w:type="spellStart"/>
        <w:r w:rsidRPr="005203E1">
          <w:rPr>
            <w:rStyle w:val="Lienhypertexte"/>
            <w:rFonts w:ascii="Verdana" w:hAnsi="Verdana" w:cs="Arial"/>
            <w:sz w:val="20"/>
            <w:szCs w:val="20"/>
          </w:rPr>
          <w:t>LEp</w:t>
        </w:r>
        <w:proofErr w:type="spellEnd"/>
      </w:hyperlink>
      <w:r w:rsidRPr="00DB6E61">
        <w:rPr>
          <w:rFonts w:ascii="Verdana" w:hAnsi="Verdana" w:cs="Arial"/>
          <w:sz w:val="20"/>
          <w:szCs w:val="20"/>
        </w:rPr>
        <w:t xml:space="preserve">) : il s’agit pour les autorités de respecter le </w:t>
      </w:r>
      <w:r w:rsidRPr="00DB6E61">
        <w:rPr>
          <w:rFonts w:ascii="Verdana" w:hAnsi="Verdana" w:cs="Arial"/>
          <w:b/>
          <w:bCs/>
          <w:sz w:val="20"/>
          <w:szCs w:val="20"/>
        </w:rPr>
        <w:t>principe de proportionnalité</w:t>
      </w:r>
      <w:r w:rsidRPr="00DB6E61">
        <w:rPr>
          <w:rFonts w:ascii="Verdana" w:hAnsi="Verdana" w:cs="Arial"/>
          <w:sz w:val="20"/>
          <w:szCs w:val="20"/>
        </w:rPr>
        <w:t xml:space="preserve">, par des mesures </w:t>
      </w:r>
      <w:r w:rsidRPr="00DB6E61">
        <w:rPr>
          <w:rFonts w:ascii="Verdana" w:hAnsi="Verdana" w:cs="Arial"/>
          <w:b/>
          <w:bCs/>
          <w:sz w:val="20"/>
          <w:szCs w:val="20"/>
        </w:rPr>
        <w:t>adaptées au risque à prévenir</w:t>
      </w:r>
      <w:r w:rsidRPr="00DB6E61">
        <w:rPr>
          <w:rFonts w:ascii="Verdana" w:hAnsi="Verdana" w:cs="Arial"/>
          <w:sz w:val="20"/>
          <w:szCs w:val="20"/>
        </w:rPr>
        <w:t xml:space="preserve">, sous l’angle tant de la </w:t>
      </w:r>
      <w:r w:rsidRPr="00DB6E61">
        <w:rPr>
          <w:rFonts w:ascii="Verdana" w:hAnsi="Verdana" w:cs="Arial"/>
          <w:b/>
          <w:bCs/>
          <w:sz w:val="20"/>
          <w:szCs w:val="20"/>
        </w:rPr>
        <w:t>nécessité</w:t>
      </w:r>
      <w:r w:rsidRPr="00DB6E61">
        <w:rPr>
          <w:rFonts w:ascii="Verdana" w:hAnsi="Verdana" w:cs="Arial"/>
          <w:sz w:val="20"/>
          <w:szCs w:val="20"/>
        </w:rPr>
        <w:t xml:space="preserve"> que de l’aspect </w:t>
      </w:r>
      <w:r w:rsidRPr="00DB6E61">
        <w:rPr>
          <w:rFonts w:ascii="Verdana" w:hAnsi="Verdana" w:cs="Arial"/>
          <w:b/>
          <w:bCs/>
          <w:sz w:val="20"/>
          <w:szCs w:val="20"/>
        </w:rPr>
        <w:t>raisonnable</w:t>
      </w:r>
      <w:r w:rsidRPr="00DB6E61">
        <w:rPr>
          <w:rFonts w:ascii="Verdana" w:hAnsi="Verdana" w:cs="Arial"/>
          <w:sz w:val="20"/>
          <w:szCs w:val="20"/>
        </w:rPr>
        <w:t> (</w:t>
      </w:r>
      <w:hyperlink r:id="rId32" w:anchor="art_31" w:history="1">
        <w:r w:rsidRPr="005203E1">
          <w:rPr>
            <w:rStyle w:val="Lienhypertexte"/>
            <w:rFonts w:ascii="Verdana" w:hAnsi="Verdana" w:cs="Arial"/>
            <w:sz w:val="20"/>
            <w:szCs w:val="20"/>
          </w:rPr>
          <w:t xml:space="preserve">art. 31 al. 4 </w:t>
        </w:r>
        <w:proofErr w:type="spellStart"/>
        <w:r w:rsidRPr="005203E1">
          <w:rPr>
            <w:rStyle w:val="Lienhypertexte"/>
            <w:rFonts w:ascii="Verdana" w:hAnsi="Verdana" w:cs="Arial"/>
            <w:sz w:val="20"/>
            <w:szCs w:val="20"/>
          </w:rPr>
          <w:t>LEp</w:t>
        </w:r>
        <w:proofErr w:type="spellEnd"/>
      </w:hyperlink>
      <w:r w:rsidRPr="00DB6E61">
        <w:rPr>
          <w:rFonts w:ascii="Verdana" w:hAnsi="Verdana" w:cs="Arial"/>
          <w:sz w:val="20"/>
          <w:szCs w:val="20"/>
        </w:rPr>
        <w:t xml:space="preserve">) : </w:t>
      </w:r>
    </w:p>
    <w:p w14:paraId="67FC4B27" w14:textId="77777777" w:rsidR="00DF4174" w:rsidRPr="00DB6E61" w:rsidRDefault="00DF4174" w:rsidP="005444E9">
      <w:pPr>
        <w:spacing w:before="120" w:after="120" w:line="276" w:lineRule="auto"/>
        <w:jc w:val="both"/>
        <w:rPr>
          <w:rFonts w:ascii="Verdana" w:eastAsia="Times New Roman" w:hAnsi="Verdana" w:cs="Times New Roman"/>
          <w:sz w:val="20"/>
          <w:szCs w:val="20"/>
          <w:lang w:eastAsia="fr-FR"/>
        </w:rPr>
      </w:pPr>
      <w:r w:rsidRPr="00DB6E61">
        <w:rPr>
          <w:rFonts w:ascii="Verdana" w:eastAsia="Times New Roman" w:hAnsi="Verdana" w:cs="Arial"/>
          <w:i/>
          <w:iCs/>
          <w:sz w:val="20"/>
          <w:szCs w:val="20"/>
          <w:lang w:eastAsia="fr-FR"/>
        </w:rPr>
        <w:t>Les mesures ordonnées ne doivent pas durer plus longtemps qu’il n’est nécessaire pour empêcher la propagation d’une maladie transmissible et prévenir un risque sérieux pour la santé d’autrui. Les mesures sont réexaminées régulièrement</w:t>
      </w:r>
      <w:r w:rsidRPr="00DB6E61">
        <w:rPr>
          <w:rFonts w:ascii="Verdana" w:eastAsia="Times New Roman" w:hAnsi="Verdana" w:cs="Times New Roman"/>
          <w:sz w:val="20"/>
          <w:szCs w:val="20"/>
          <w:lang w:eastAsia="fr-FR"/>
        </w:rPr>
        <w:t>.</w:t>
      </w:r>
    </w:p>
    <w:p w14:paraId="51A88B46" w14:textId="3BC06239" w:rsidR="00DF4174" w:rsidRPr="00DB6E61" w:rsidRDefault="00DF4174" w:rsidP="005444E9">
      <w:pPr>
        <w:spacing w:before="120" w:after="120" w:line="276" w:lineRule="auto"/>
        <w:jc w:val="both"/>
        <w:rPr>
          <w:rFonts w:ascii="Verdana" w:hAnsi="Verdana" w:cs="Arial"/>
          <w:sz w:val="20"/>
          <w:szCs w:val="20"/>
        </w:rPr>
      </w:pPr>
      <w:r w:rsidRPr="00DB6E61">
        <w:rPr>
          <w:rFonts w:ascii="Verdana" w:hAnsi="Verdana" w:cs="Arial"/>
          <w:sz w:val="20"/>
          <w:szCs w:val="20"/>
        </w:rPr>
        <w:t>L’</w:t>
      </w:r>
      <w:hyperlink r:id="rId33" w:anchor="art_32" w:history="1">
        <w:r w:rsidRPr="009020BD">
          <w:rPr>
            <w:rStyle w:val="Lienhypertexte"/>
            <w:rFonts w:ascii="Verdana" w:hAnsi="Verdana" w:cs="Arial"/>
            <w:sz w:val="20"/>
            <w:szCs w:val="20"/>
          </w:rPr>
          <w:t xml:space="preserve">art. 32 </w:t>
        </w:r>
        <w:proofErr w:type="spellStart"/>
        <w:r w:rsidRPr="009020BD">
          <w:rPr>
            <w:rStyle w:val="Lienhypertexte"/>
            <w:rFonts w:ascii="Verdana" w:hAnsi="Verdana" w:cs="Arial"/>
            <w:sz w:val="20"/>
            <w:szCs w:val="20"/>
          </w:rPr>
          <w:t>LEp</w:t>
        </w:r>
        <w:proofErr w:type="spellEnd"/>
      </w:hyperlink>
      <w:r w:rsidRPr="00DB6E61">
        <w:rPr>
          <w:rFonts w:ascii="Verdana" w:hAnsi="Verdana" w:cs="Arial"/>
          <w:sz w:val="20"/>
          <w:szCs w:val="20"/>
        </w:rPr>
        <w:t xml:space="preserve"> permet aux cantons qui ont « </w:t>
      </w:r>
      <w:r w:rsidRPr="00DB6E61">
        <w:rPr>
          <w:rFonts w:ascii="Verdana" w:hAnsi="Verdana" w:cs="Arial"/>
          <w:i/>
          <w:iCs/>
          <w:sz w:val="20"/>
          <w:szCs w:val="20"/>
        </w:rPr>
        <w:t xml:space="preserve">ordonné une surveillance médicale, une </w:t>
      </w:r>
      <w:r w:rsidRPr="00DB6E61">
        <w:rPr>
          <w:rFonts w:ascii="Verdana" w:hAnsi="Verdana" w:cs="Arial"/>
          <w:b/>
          <w:bCs/>
          <w:i/>
          <w:iCs/>
          <w:sz w:val="20"/>
          <w:szCs w:val="20"/>
        </w:rPr>
        <w:t>quarantaine, un isolement</w:t>
      </w:r>
      <w:r w:rsidRPr="00DB6E61">
        <w:rPr>
          <w:rFonts w:ascii="Verdana" w:hAnsi="Verdana" w:cs="Arial"/>
          <w:i/>
          <w:iCs/>
          <w:sz w:val="20"/>
          <w:szCs w:val="20"/>
        </w:rPr>
        <w:t xml:space="preserve"> </w:t>
      </w:r>
      <w:r w:rsidRPr="00DB6E61">
        <w:rPr>
          <w:rFonts w:ascii="Verdana" w:hAnsi="Verdana" w:cs="Arial"/>
          <w:sz w:val="20"/>
          <w:szCs w:val="20"/>
        </w:rPr>
        <w:t>(</w:t>
      </w:r>
      <w:hyperlink r:id="rId34" w:anchor="art_35" w:history="1">
        <w:r w:rsidRPr="007159F4">
          <w:rPr>
            <w:rStyle w:val="Lienhypertexte"/>
            <w:rFonts w:ascii="Verdana" w:hAnsi="Verdana" w:cs="Arial"/>
            <w:sz w:val="20"/>
            <w:szCs w:val="20"/>
          </w:rPr>
          <w:t xml:space="preserve">art. 35 </w:t>
        </w:r>
        <w:proofErr w:type="spellStart"/>
        <w:r w:rsidRPr="007159F4">
          <w:rPr>
            <w:rStyle w:val="Lienhypertexte"/>
            <w:rFonts w:ascii="Verdana" w:hAnsi="Verdana" w:cs="Arial"/>
            <w:sz w:val="20"/>
            <w:szCs w:val="20"/>
          </w:rPr>
          <w:t>LEp</w:t>
        </w:r>
        <w:proofErr w:type="spellEnd"/>
      </w:hyperlink>
      <w:r w:rsidRPr="00DB6E61">
        <w:rPr>
          <w:rFonts w:ascii="Verdana" w:hAnsi="Verdana" w:cs="Arial"/>
          <w:sz w:val="20"/>
          <w:szCs w:val="20"/>
        </w:rPr>
        <w:t xml:space="preserve">) </w:t>
      </w:r>
      <w:r w:rsidRPr="00DB6E61">
        <w:rPr>
          <w:rFonts w:ascii="Verdana" w:hAnsi="Verdana" w:cs="Arial"/>
          <w:i/>
          <w:iCs/>
          <w:sz w:val="20"/>
          <w:szCs w:val="20"/>
        </w:rPr>
        <w:t>ou un examen médical peuvent pourvoir à leur exécution par voie de contrainte</w:t>
      </w:r>
      <w:r w:rsidRPr="00DB6E61">
        <w:rPr>
          <w:rFonts w:ascii="Verdana" w:hAnsi="Verdana" w:cs="Arial"/>
          <w:sz w:val="20"/>
          <w:szCs w:val="20"/>
        </w:rPr>
        <w:t xml:space="preserve"> ». </w:t>
      </w:r>
    </w:p>
    <w:p w14:paraId="02589D53" w14:textId="66BB9C21" w:rsidR="00DF4174" w:rsidRPr="00DB6E61" w:rsidRDefault="00DF4174" w:rsidP="005444E9">
      <w:pPr>
        <w:spacing w:before="120" w:after="120" w:line="276" w:lineRule="auto"/>
        <w:jc w:val="both"/>
        <w:rPr>
          <w:rFonts w:ascii="Verdana" w:hAnsi="Verdana" w:cs="Arial"/>
          <w:sz w:val="20"/>
          <w:szCs w:val="20"/>
        </w:rPr>
      </w:pPr>
      <w:r w:rsidRPr="00DB6E61">
        <w:rPr>
          <w:rFonts w:ascii="Verdana" w:hAnsi="Verdana" w:cs="Arial"/>
          <w:sz w:val="20"/>
          <w:szCs w:val="20"/>
        </w:rPr>
        <w:lastRenderedPageBreak/>
        <w:t>L’</w:t>
      </w:r>
      <w:hyperlink r:id="rId35" w:anchor="art_34" w:history="1">
        <w:r w:rsidRPr="00703E60">
          <w:rPr>
            <w:rStyle w:val="Lienhypertexte"/>
            <w:rFonts w:ascii="Verdana" w:hAnsi="Verdana" w:cs="Arial"/>
            <w:sz w:val="20"/>
            <w:szCs w:val="20"/>
          </w:rPr>
          <w:t xml:space="preserve">art. 34 al. 2 </w:t>
        </w:r>
        <w:proofErr w:type="spellStart"/>
        <w:r w:rsidRPr="00703E60">
          <w:rPr>
            <w:rStyle w:val="Lienhypertexte"/>
            <w:rFonts w:ascii="Verdana" w:hAnsi="Verdana" w:cs="Arial"/>
            <w:sz w:val="20"/>
            <w:szCs w:val="20"/>
          </w:rPr>
          <w:t>LEp</w:t>
        </w:r>
        <w:proofErr w:type="spellEnd"/>
      </w:hyperlink>
      <w:r w:rsidRPr="00DB6E61">
        <w:rPr>
          <w:rFonts w:ascii="Verdana" w:hAnsi="Verdana" w:cs="Arial"/>
          <w:sz w:val="20"/>
          <w:szCs w:val="20"/>
        </w:rPr>
        <w:t xml:space="preserve"> impose aux personnes concernées de « </w:t>
      </w:r>
      <w:r w:rsidRPr="00DB6E61">
        <w:rPr>
          <w:rFonts w:ascii="Verdana" w:hAnsi="Verdana" w:cs="Arial"/>
          <w:i/>
          <w:iCs/>
          <w:sz w:val="20"/>
          <w:szCs w:val="20"/>
        </w:rPr>
        <w:t>renseigner le médecin compétent sur leur état de santé et sur leur contact avec des tiers</w:t>
      </w:r>
      <w:r w:rsidRPr="00DB6E61">
        <w:rPr>
          <w:rFonts w:ascii="Verdana" w:hAnsi="Verdana" w:cs="Arial"/>
          <w:sz w:val="20"/>
          <w:szCs w:val="20"/>
        </w:rPr>
        <w:t xml:space="preserve"> ». </w:t>
      </w:r>
    </w:p>
    <w:p w14:paraId="770BCDFB" w14:textId="783BF68B" w:rsidR="00DF4174" w:rsidRPr="00DB6E61" w:rsidRDefault="00DF4174" w:rsidP="005444E9">
      <w:pPr>
        <w:spacing w:before="120" w:after="120" w:line="276" w:lineRule="auto"/>
        <w:jc w:val="both"/>
        <w:rPr>
          <w:rFonts w:ascii="Verdana" w:hAnsi="Verdana" w:cs="Arial"/>
          <w:sz w:val="20"/>
          <w:szCs w:val="20"/>
        </w:rPr>
      </w:pPr>
      <w:r w:rsidRPr="00DB6E61">
        <w:rPr>
          <w:rFonts w:ascii="Verdana" w:hAnsi="Verdana" w:cs="Arial"/>
          <w:sz w:val="20"/>
          <w:szCs w:val="20"/>
        </w:rPr>
        <w:t>Finalement, l’</w:t>
      </w:r>
      <w:hyperlink r:id="rId36" w:anchor="art_38" w:history="1">
        <w:r w:rsidRPr="003E5702">
          <w:rPr>
            <w:rStyle w:val="Lienhypertexte"/>
            <w:rFonts w:ascii="Verdana" w:hAnsi="Verdana" w:cs="Arial"/>
            <w:sz w:val="20"/>
            <w:szCs w:val="20"/>
          </w:rPr>
          <w:t xml:space="preserve">art. 38 al. 1 </w:t>
        </w:r>
        <w:proofErr w:type="spellStart"/>
        <w:r w:rsidRPr="003E5702">
          <w:rPr>
            <w:rStyle w:val="Lienhypertexte"/>
            <w:rFonts w:ascii="Verdana" w:hAnsi="Verdana" w:cs="Arial"/>
            <w:sz w:val="20"/>
            <w:szCs w:val="20"/>
          </w:rPr>
          <w:t>LEp</w:t>
        </w:r>
        <w:proofErr w:type="spellEnd"/>
      </w:hyperlink>
      <w:r w:rsidRPr="00DB6E61">
        <w:rPr>
          <w:rFonts w:ascii="Verdana" w:hAnsi="Verdana" w:cs="Arial"/>
          <w:sz w:val="20"/>
          <w:szCs w:val="20"/>
        </w:rPr>
        <w:t xml:space="preserve"> prévoit qu’une personne malade, présumée malade, infectée peut se voir interdire l’exercice d’une profession ou de certaines activités. </w:t>
      </w:r>
    </w:p>
    <w:p w14:paraId="499C8CE4" w14:textId="0F3AC616" w:rsidR="00DF4174" w:rsidRPr="00DB6E61" w:rsidRDefault="00DF4174" w:rsidP="005444E9">
      <w:pPr>
        <w:pStyle w:val="Paragraphedeliste"/>
        <w:numPr>
          <w:ilvl w:val="0"/>
          <w:numId w:val="15"/>
        </w:numPr>
        <w:spacing w:before="120" w:after="120" w:line="276" w:lineRule="auto"/>
        <w:jc w:val="both"/>
        <w:rPr>
          <w:rFonts w:ascii="Verdana" w:hAnsi="Verdana" w:cs="Arial"/>
          <w:sz w:val="20"/>
          <w:szCs w:val="20"/>
        </w:rPr>
      </w:pPr>
      <w:r w:rsidRPr="00DB6E61">
        <w:rPr>
          <w:rFonts w:ascii="Verdana" w:hAnsi="Verdana" w:cs="Arial"/>
          <w:b/>
          <w:bCs/>
          <w:sz w:val="20"/>
          <w:szCs w:val="20"/>
        </w:rPr>
        <w:t xml:space="preserve">Mesures de lutte visant </w:t>
      </w:r>
      <w:r w:rsidRPr="00DB6E61">
        <w:rPr>
          <w:rFonts w:ascii="Verdana" w:hAnsi="Verdana" w:cs="Arial"/>
          <w:b/>
          <w:bCs/>
          <w:sz w:val="20"/>
          <w:szCs w:val="20"/>
          <w:u w:val="single"/>
        </w:rPr>
        <w:t>la population ou certains groupes</w:t>
      </w:r>
      <w:r w:rsidRPr="00DB6E61">
        <w:rPr>
          <w:rFonts w:ascii="Verdana" w:hAnsi="Verdana" w:cs="Arial"/>
          <w:b/>
          <w:bCs/>
          <w:sz w:val="20"/>
          <w:szCs w:val="20"/>
        </w:rPr>
        <w:t xml:space="preserve"> de personnes (art. 40ss </w:t>
      </w:r>
      <w:proofErr w:type="spellStart"/>
      <w:r w:rsidRPr="00DB6E61">
        <w:rPr>
          <w:rFonts w:ascii="Verdana" w:hAnsi="Verdana" w:cs="Arial"/>
          <w:b/>
          <w:bCs/>
          <w:sz w:val="20"/>
          <w:szCs w:val="20"/>
        </w:rPr>
        <w:t>LEp</w:t>
      </w:r>
      <w:proofErr w:type="spellEnd"/>
      <w:r w:rsidRPr="00DB6E61">
        <w:rPr>
          <w:rFonts w:ascii="Verdana" w:hAnsi="Verdana" w:cs="Arial"/>
          <w:b/>
          <w:bCs/>
          <w:sz w:val="20"/>
          <w:szCs w:val="20"/>
        </w:rPr>
        <w:t>)</w:t>
      </w:r>
    </w:p>
    <w:p w14:paraId="7C07EDDC" w14:textId="0BE3340A"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hAnsi="Verdana" w:cs="Arial"/>
          <w:sz w:val="20"/>
          <w:szCs w:val="20"/>
        </w:rPr>
        <w:t>Selon l’</w:t>
      </w:r>
      <w:hyperlink r:id="rId37" w:anchor="art_40" w:history="1">
        <w:r w:rsidRPr="004C4611">
          <w:rPr>
            <w:rStyle w:val="Lienhypertexte"/>
            <w:rFonts w:ascii="Verdana" w:hAnsi="Verdana" w:cs="Arial"/>
            <w:sz w:val="20"/>
            <w:szCs w:val="20"/>
          </w:rPr>
          <w:t xml:space="preserve">art. 40 al. 1 </w:t>
        </w:r>
        <w:proofErr w:type="spellStart"/>
        <w:r w:rsidRPr="004C4611">
          <w:rPr>
            <w:rStyle w:val="Lienhypertexte"/>
            <w:rFonts w:ascii="Verdana" w:hAnsi="Verdana" w:cs="Arial"/>
            <w:sz w:val="20"/>
            <w:szCs w:val="20"/>
          </w:rPr>
          <w:t>LEp</w:t>
        </w:r>
        <w:proofErr w:type="spellEnd"/>
      </w:hyperlink>
      <w:r w:rsidRPr="00DB6E61">
        <w:rPr>
          <w:rFonts w:ascii="Verdana" w:hAnsi="Verdana" w:cs="Arial"/>
          <w:sz w:val="20"/>
          <w:szCs w:val="20"/>
        </w:rPr>
        <w:t>, « </w:t>
      </w:r>
      <w:r w:rsidRPr="00DB6E61">
        <w:rPr>
          <w:rFonts w:ascii="Verdana" w:eastAsia="Times New Roman" w:hAnsi="Verdana" w:cs="Arial"/>
          <w:i/>
          <w:iCs/>
          <w:sz w:val="20"/>
          <w:szCs w:val="20"/>
          <w:lang w:eastAsia="fr-FR"/>
        </w:rPr>
        <w:t xml:space="preserve">les autorités cantonales compétentes ordonnent les mesures nécessaires pour empêcher la propagation de maladies transmissibles au sein de la population ou dans certains groupes de personnes. </w:t>
      </w:r>
      <w:r w:rsidRPr="00DB6E61">
        <w:rPr>
          <w:rFonts w:ascii="Verdana" w:eastAsia="Times New Roman" w:hAnsi="Verdana" w:cs="Arial"/>
          <w:b/>
          <w:bCs/>
          <w:i/>
          <w:iCs/>
          <w:sz w:val="20"/>
          <w:szCs w:val="20"/>
          <w:lang w:eastAsia="fr-FR"/>
        </w:rPr>
        <w:t>Elles coordonnent leur action</w:t>
      </w:r>
      <w:r w:rsidRPr="00DB6E61">
        <w:rPr>
          <w:rFonts w:ascii="Verdana" w:eastAsia="Times New Roman" w:hAnsi="Verdana" w:cs="Arial"/>
          <w:sz w:val="20"/>
          <w:szCs w:val="20"/>
          <w:lang w:eastAsia="fr-FR"/>
        </w:rPr>
        <w:t xml:space="preserve"> », en prononçant notamment </w:t>
      </w:r>
    </w:p>
    <w:p w14:paraId="1B4FDE6B" w14:textId="345F5A95" w:rsidR="0089353E" w:rsidRPr="00DB6E61" w:rsidRDefault="00905031" w:rsidP="004C4611">
      <w:pPr>
        <w:pStyle w:val="Paragraphedeliste"/>
        <w:numPr>
          <w:ilvl w:val="0"/>
          <w:numId w:val="16"/>
        </w:numPr>
        <w:spacing w:before="120" w:after="120" w:line="276" w:lineRule="auto"/>
        <w:ind w:left="567"/>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L’interdiction</w:t>
      </w:r>
      <w:r w:rsidR="0089353E" w:rsidRPr="00DB6E61">
        <w:rPr>
          <w:rFonts w:ascii="Verdana" w:eastAsia="Times New Roman" w:hAnsi="Verdana" w:cs="Arial"/>
          <w:sz w:val="20"/>
          <w:szCs w:val="20"/>
          <w:lang w:eastAsia="fr-FR"/>
        </w:rPr>
        <w:t xml:space="preserve"> totale ou partielle de </w:t>
      </w:r>
      <w:r w:rsidRPr="00DB6E61">
        <w:rPr>
          <w:rFonts w:ascii="Verdana" w:eastAsia="Times New Roman" w:hAnsi="Verdana" w:cs="Arial"/>
          <w:sz w:val="20"/>
          <w:szCs w:val="20"/>
          <w:lang w:eastAsia="fr-FR"/>
        </w:rPr>
        <w:t>manifestations ;</w:t>
      </w:r>
    </w:p>
    <w:p w14:paraId="011969D3" w14:textId="2BEB9804" w:rsidR="0089353E" w:rsidRPr="00DB6E61" w:rsidRDefault="00905031" w:rsidP="004C4611">
      <w:pPr>
        <w:pStyle w:val="Paragraphedeliste"/>
        <w:numPr>
          <w:ilvl w:val="0"/>
          <w:numId w:val="16"/>
        </w:numPr>
        <w:spacing w:before="120" w:after="120" w:line="276" w:lineRule="auto"/>
        <w:ind w:left="567"/>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La</w:t>
      </w:r>
      <w:r w:rsidR="0089353E" w:rsidRPr="00DB6E61">
        <w:rPr>
          <w:rFonts w:ascii="Verdana" w:eastAsia="Times New Roman" w:hAnsi="Verdana" w:cs="Arial"/>
          <w:sz w:val="20"/>
          <w:szCs w:val="20"/>
          <w:lang w:eastAsia="fr-FR"/>
        </w:rPr>
        <w:t xml:space="preserve"> fermeture des écoles, des entreprises privées, ou réglementer leur </w:t>
      </w:r>
      <w:r w:rsidR="000E713E" w:rsidRPr="00DB6E61">
        <w:rPr>
          <w:rFonts w:ascii="Verdana" w:eastAsia="Times New Roman" w:hAnsi="Verdana" w:cs="Arial"/>
          <w:sz w:val="20"/>
          <w:szCs w:val="20"/>
          <w:lang w:eastAsia="fr-FR"/>
        </w:rPr>
        <w:t>fonctionnement ;</w:t>
      </w:r>
    </w:p>
    <w:p w14:paraId="695554AA" w14:textId="5B27B10E" w:rsidR="0089353E" w:rsidRPr="00DB6E61" w:rsidRDefault="00905031" w:rsidP="004C4611">
      <w:pPr>
        <w:pStyle w:val="Paragraphedeliste"/>
        <w:numPr>
          <w:ilvl w:val="0"/>
          <w:numId w:val="16"/>
        </w:numPr>
        <w:spacing w:before="120" w:after="120" w:line="276" w:lineRule="auto"/>
        <w:ind w:left="567"/>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La</w:t>
      </w:r>
      <w:r w:rsidR="0089353E" w:rsidRPr="00DB6E61">
        <w:rPr>
          <w:rFonts w:ascii="Verdana" w:eastAsia="Times New Roman" w:hAnsi="Verdana" w:cs="Arial"/>
          <w:sz w:val="20"/>
          <w:szCs w:val="20"/>
          <w:lang w:eastAsia="fr-FR"/>
        </w:rPr>
        <w:t xml:space="preserve"> limitation de l’entrée et de la sortie de certains bâtiments, ou certaines activités se déroulant dans des endroits définis.</w:t>
      </w:r>
    </w:p>
    <w:p w14:paraId="099DDFC5" w14:textId="640028D5"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Les mesures ordonnées ne doivent pas durer plus longtemps qu’il n’est nécessaire pour prévenir la propagation d’une maladie transmissible. Les mesures sont réexaminées régulièrement, ce qui découle du </w:t>
      </w:r>
      <w:r w:rsidRPr="00DB6E61">
        <w:rPr>
          <w:rFonts w:ascii="Verdana" w:eastAsia="Times New Roman" w:hAnsi="Verdana" w:cs="Arial"/>
          <w:b/>
          <w:bCs/>
          <w:sz w:val="20"/>
          <w:szCs w:val="20"/>
          <w:lang w:eastAsia="fr-FR"/>
        </w:rPr>
        <w:t>principe de proportionnalité</w:t>
      </w:r>
      <w:r w:rsidRPr="00DB6E61">
        <w:rPr>
          <w:rFonts w:ascii="Verdana" w:eastAsia="Times New Roman" w:hAnsi="Verdana" w:cs="Arial"/>
          <w:sz w:val="20"/>
          <w:szCs w:val="20"/>
          <w:lang w:eastAsia="fr-FR"/>
        </w:rPr>
        <w:t xml:space="preserve">. </w:t>
      </w:r>
    </w:p>
    <w:p w14:paraId="21012EE4" w14:textId="430DDC82" w:rsidR="0089353E" w:rsidRPr="00DB6E61" w:rsidRDefault="0089353E" w:rsidP="005444E9">
      <w:pPr>
        <w:pStyle w:val="Paragraphedeliste"/>
        <w:numPr>
          <w:ilvl w:val="0"/>
          <w:numId w:val="15"/>
        </w:numPr>
        <w:spacing w:before="120" w:after="120" w:line="276" w:lineRule="auto"/>
        <w:jc w:val="both"/>
        <w:rPr>
          <w:rFonts w:ascii="Verdana" w:hAnsi="Verdana" w:cs="Arial"/>
          <w:b/>
          <w:bCs/>
          <w:sz w:val="20"/>
          <w:szCs w:val="20"/>
        </w:rPr>
      </w:pPr>
      <w:r w:rsidRPr="00DB6E61">
        <w:rPr>
          <w:rFonts w:ascii="Verdana" w:hAnsi="Verdana" w:cs="Arial"/>
          <w:b/>
          <w:bCs/>
          <w:sz w:val="20"/>
          <w:szCs w:val="20"/>
        </w:rPr>
        <w:t>Mesures visant le transport international de personnes</w:t>
      </w:r>
      <w:r w:rsidRPr="00DB6E61">
        <w:rPr>
          <w:rFonts w:ascii="Verdana" w:hAnsi="Verdana" w:cs="Arial"/>
          <w:sz w:val="20"/>
          <w:szCs w:val="20"/>
        </w:rPr>
        <w:t xml:space="preserve"> </w:t>
      </w:r>
      <w:r w:rsidRPr="00DB6E61">
        <w:rPr>
          <w:rFonts w:ascii="Verdana" w:hAnsi="Verdana" w:cs="Arial"/>
          <w:b/>
          <w:bCs/>
          <w:sz w:val="20"/>
          <w:szCs w:val="20"/>
        </w:rPr>
        <w:t xml:space="preserve">(art. 41ss </w:t>
      </w:r>
      <w:proofErr w:type="spellStart"/>
      <w:r w:rsidRPr="00DB6E61">
        <w:rPr>
          <w:rFonts w:ascii="Verdana" w:hAnsi="Verdana" w:cs="Arial"/>
          <w:b/>
          <w:bCs/>
          <w:sz w:val="20"/>
          <w:szCs w:val="20"/>
        </w:rPr>
        <w:t>LEp</w:t>
      </w:r>
      <w:proofErr w:type="spellEnd"/>
      <w:r w:rsidRPr="00DB6E61">
        <w:rPr>
          <w:rFonts w:ascii="Verdana" w:hAnsi="Verdana" w:cs="Arial"/>
          <w:b/>
          <w:bCs/>
          <w:sz w:val="20"/>
          <w:szCs w:val="20"/>
        </w:rPr>
        <w:t xml:space="preserve">) </w:t>
      </w:r>
    </w:p>
    <w:p w14:paraId="284E8F6A" w14:textId="22F98AC8" w:rsidR="0089353E" w:rsidRPr="00DB6E61" w:rsidRDefault="0089353E" w:rsidP="005444E9">
      <w:pPr>
        <w:pStyle w:val="NormalWeb"/>
        <w:spacing w:before="120" w:beforeAutospacing="0" w:after="120" w:afterAutospacing="0" w:line="276" w:lineRule="auto"/>
        <w:jc w:val="both"/>
        <w:rPr>
          <w:rFonts w:ascii="Verdana" w:hAnsi="Verdana" w:cs="Arial"/>
          <w:sz w:val="20"/>
          <w:szCs w:val="20"/>
        </w:rPr>
      </w:pPr>
      <w:r w:rsidRPr="00DB6E61">
        <w:rPr>
          <w:rFonts w:ascii="Verdana" w:hAnsi="Verdana" w:cs="Arial"/>
          <w:sz w:val="20"/>
          <w:szCs w:val="20"/>
        </w:rPr>
        <w:t>Selon l’</w:t>
      </w:r>
      <w:hyperlink r:id="rId38" w:anchor="art_41" w:history="1">
        <w:r w:rsidRPr="00144C5F">
          <w:rPr>
            <w:rStyle w:val="Lienhypertexte"/>
            <w:rFonts w:ascii="Verdana" w:hAnsi="Verdana" w:cs="Arial"/>
            <w:sz w:val="20"/>
            <w:szCs w:val="20"/>
          </w:rPr>
          <w:t xml:space="preserve">art. 41 </w:t>
        </w:r>
        <w:proofErr w:type="spellStart"/>
        <w:r w:rsidRPr="00144C5F">
          <w:rPr>
            <w:rStyle w:val="Lienhypertexte"/>
            <w:rFonts w:ascii="Verdana" w:hAnsi="Verdana" w:cs="Arial"/>
            <w:sz w:val="20"/>
            <w:szCs w:val="20"/>
          </w:rPr>
          <w:t>LEp</w:t>
        </w:r>
        <w:proofErr w:type="spellEnd"/>
      </w:hyperlink>
      <w:r w:rsidRPr="00DB6E61">
        <w:rPr>
          <w:rFonts w:ascii="Verdana" w:hAnsi="Verdana" w:cs="Arial"/>
          <w:sz w:val="20"/>
          <w:szCs w:val="20"/>
        </w:rPr>
        <w:t xml:space="preserve">, l’OFSP peut imposer des obligations aux personnes qui entrent en Suisse ou qui en </w:t>
      </w:r>
      <w:r w:rsidR="000E713E" w:rsidRPr="00DB6E61">
        <w:rPr>
          <w:rFonts w:ascii="Verdana" w:hAnsi="Verdana" w:cs="Arial"/>
          <w:sz w:val="20"/>
          <w:szCs w:val="20"/>
        </w:rPr>
        <w:t>sortent :</w:t>
      </w:r>
    </w:p>
    <w:p w14:paraId="0CEAAF92" w14:textId="1A03B386"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a. faire connaître leur identité, leurs coordonnées et leur </w:t>
      </w:r>
      <w:r w:rsidR="000E713E" w:rsidRPr="00DB6E61">
        <w:rPr>
          <w:rFonts w:ascii="Verdana" w:eastAsia="Times New Roman" w:hAnsi="Verdana" w:cs="Arial"/>
          <w:sz w:val="20"/>
          <w:szCs w:val="20"/>
          <w:lang w:eastAsia="fr-FR"/>
        </w:rPr>
        <w:t>itinéraire ;</w:t>
      </w:r>
    </w:p>
    <w:p w14:paraId="1183601A" w14:textId="25B5D72A"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b. présenter un certificat attestant une vaccination ou une autre mesure de </w:t>
      </w:r>
      <w:r w:rsidR="000E713E" w:rsidRPr="00DB6E61">
        <w:rPr>
          <w:rFonts w:ascii="Verdana" w:eastAsia="Times New Roman" w:hAnsi="Verdana" w:cs="Arial"/>
          <w:sz w:val="20"/>
          <w:szCs w:val="20"/>
          <w:lang w:eastAsia="fr-FR"/>
        </w:rPr>
        <w:t>prophylaxie ;</w:t>
      </w:r>
    </w:p>
    <w:p w14:paraId="461E1846" w14:textId="2A00F3FB"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c. fournir des renseignements sur leur état de </w:t>
      </w:r>
      <w:r w:rsidR="000E713E" w:rsidRPr="00DB6E61">
        <w:rPr>
          <w:rFonts w:ascii="Verdana" w:eastAsia="Times New Roman" w:hAnsi="Verdana" w:cs="Arial"/>
          <w:sz w:val="20"/>
          <w:szCs w:val="20"/>
          <w:lang w:eastAsia="fr-FR"/>
        </w:rPr>
        <w:t>santé ;</w:t>
      </w:r>
    </w:p>
    <w:p w14:paraId="19417FCE" w14:textId="385F0BDC"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 xml:space="preserve">d. présenter un certificat </w:t>
      </w:r>
      <w:r w:rsidR="000E713E" w:rsidRPr="00DB6E61">
        <w:rPr>
          <w:rFonts w:ascii="Verdana" w:eastAsia="Times New Roman" w:hAnsi="Verdana" w:cs="Arial"/>
          <w:sz w:val="20"/>
          <w:szCs w:val="20"/>
          <w:lang w:eastAsia="fr-FR"/>
        </w:rPr>
        <w:t>médical ;</w:t>
      </w:r>
    </w:p>
    <w:p w14:paraId="664C1BBE" w14:textId="5FBD23CF" w:rsidR="0089353E" w:rsidRPr="00DB6E61" w:rsidRDefault="0089353E" w:rsidP="005444E9">
      <w:pPr>
        <w:spacing w:before="120" w:after="120" w:line="276" w:lineRule="auto"/>
        <w:jc w:val="both"/>
        <w:rPr>
          <w:rFonts w:ascii="Verdana" w:eastAsia="Times New Roman" w:hAnsi="Verdana" w:cs="Arial"/>
          <w:sz w:val="20"/>
          <w:szCs w:val="20"/>
          <w:lang w:eastAsia="fr-FR"/>
        </w:rPr>
      </w:pPr>
      <w:r w:rsidRPr="00DB6E61">
        <w:rPr>
          <w:rFonts w:ascii="Verdana" w:eastAsia="Times New Roman" w:hAnsi="Verdana" w:cs="Arial"/>
          <w:sz w:val="20"/>
          <w:szCs w:val="20"/>
          <w:lang w:eastAsia="fr-FR"/>
        </w:rPr>
        <w:t>e. se soumettre à un examen médical.</w:t>
      </w:r>
    </w:p>
    <w:p w14:paraId="0C3CF229" w14:textId="6AF22DBF" w:rsidR="0089353E" w:rsidRPr="00DB6E61" w:rsidRDefault="0089353E" w:rsidP="005444E9">
      <w:pPr>
        <w:pStyle w:val="Paragraphedeliste"/>
        <w:numPr>
          <w:ilvl w:val="0"/>
          <w:numId w:val="15"/>
        </w:numPr>
        <w:spacing w:before="120" w:after="120" w:line="276" w:lineRule="auto"/>
        <w:jc w:val="both"/>
        <w:rPr>
          <w:rFonts w:ascii="Verdana" w:hAnsi="Verdana" w:cs="Arial"/>
          <w:b/>
          <w:bCs/>
          <w:sz w:val="20"/>
          <w:szCs w:val="20"/>
        </w:rPr>
      </w:pPr>
      <w:r w:rsidRPr="00DB6E61">
        <w:rPr>
          <w:rFonts w:ascii="Verdana" w:hAnsi="Verdana" w:cs="Arial"/>
          <w:b/>
          <w:bCs/>
          <w:sz w:val="20"/>
          <w:szCs w:val="20"/>
        </w:rPr>
        <w:t xml:space="preserve">Mesures particulières (art. 44ss </w:t>
      </w:r>
      <w:proofErr w:type="spellStart"/>
      <w:r w:rsidRPr="00DB6E61">
        <w:rPr>
          <w:rFonts w:ascii="Verdana" w:hAnsi="Verdana" w:cs="Arial"/>
          <w:b/>
          <w:bCs/>
          <w:sz w:val="20"/>
          <w:szCs w:val="20"/>
        </w:rPr>
        <w:t>LEp</w:t>
      </w:r>
      <w:proofErr w:type="spellEnd"/>
      <w:r w:rsidRPr="00DB6E61">
        <w:rPr>
          <w:rFonts w:ascii="Verdana" w:hAnsi="Verdana" w:cs="Arial"/>
          <w:b/>
          <w:bCs/>
          <w:sz w:val="20"/>
          <w:szCs w:val="20"/>
        </w:rPr>
        <w:t xml:space="preserve">) </w:t>
      </w:r>
    </w:p>
    <w:p w14:paraId="206279AA" w14:textId="602D9E98" w:rsidR="0089353E" w:rsidRPr="00DB6E61" w:rsidRDefault="004259D0" w:rsidP="005444E9">
      <w:pPr>
        <w:spacing w:before="120" w:after="120" w:line="276" w:lineRule="auto"/>
        <w:jc w:val="both"/>
        <w:rPr>
          <w:rFonts w:ascii="Verdana" w:hAnsi="Verdana" w:cs="Arial"/>
          <w:sz w:val="20"/>
          <w:szCs w:val="20"/>
        </w:rPr>
      </w:pPr>
      <w:r w:rsidRPr="00DB6E61">
        <w:rPr>
          <w:rFonts w:ascii="Verdana" w:hAnsi="Verdana" w:cs="Arial"/>
          <w:sz w:val="20"/>
          <w:szCs w:val="20"/>
        </w:rPr>
        <w:t>L’approvisionnement en produits thérapeutiques est réglé par l’</w:t>
      </w:r>
      <w:hyperlink r:id="rId39" w:anchor="art_44" w:history="1">
        <w:r w:rsidRPr="00FF6A48">
          <w:rPr>
            <w:rStyle w:val="Lienhypertexte"/>
            <w:rFonts w:ascii="Verdana" w:hAnsi="Verdana" w:cs="Arial"/>
            <w:sz w:val="20"/>
            <w:szCs w:val="20"/>
          </w:rPr>
          <w:t xml:space="preserve">art. 44 </w:t>
        </w:r>
        <w:proofErr w:type="spellStart"/>
        <w:r w:rsidRPr="00FF6A48">
          <w:rPr>
            <w:rStyle w:val="Lienhypertexte"/>
            <w:rFonts w:ascii="Verdana" w:hAnsi="Verdana" w:cs="Arial"/>
            <w:sz w:val="20"/>
            <w:szCs w:val="20"/>
          </w:rPr>
          <w:t>LEp</w:t>
        </w:r>
        <w:proofErr w:type="spellEnd"/>
      </w:hyperlink>
      <w:r w:rsidRPr="00DB6E61">
        <w:rPr>
          <w:rFonts w:ascii="Verdana" w:hAnsi="Verdana" w:cs="Arial"/>
          <w:sz w:val="20"/>
          <w:szCs w:val="20"/>
        </w:rPr>
        <w:t xml:space="preserve">, lequel prévoit notamment que </w:t>
      </w:r>
    </w:p>
    <w:p w14:paraId="7CF9FA74" w14:textId="77777777" w:rsidR="004259D0" w:rsidRPr="00DB6E61" w:rsidRDefault="004259D0" w:rsidP="005444E9">
      <w:pPr>
        <w:pStyle w:val="NormalWeb"/>
        <w:numPr>
          <w:ilvl w:val="0"/>
          <w:numId w:val="17"/>
        </w:numPr>
        <w:spacing w:before="120" w:beforeAutospacing="0" w:after="120" w:afterAutospacing="0" w:line="276" w:lineRule="auto"/>
        <w:jc w:val="both"/>
        <w:rPr>
          <w:rFonts w:ascii="Verdana" w:hAnsi="Verdana" w:cs="Arial"/>
          <w:i/>
          <w:iCs/>
          <w:sz w:val="20"/>
          <w:szCs w:val="20"/>
        </w:rPr>
      </w:pPr>
      <w:r w:rsidRPr="00DB6E61">
        <w:rPr>
          <w:rFonts w:ascii="Verdana" w:hAnsi="Verdana" w:cs="Arial"/>
          <w:i/>
          <w:iCs/>
          <w:sz w:val="20"/>
          <w:szCs w:val="20"/>
        </w:rPr>
        <w:t>Le Conseil fédéral assure l’approvisionnement de la population en produits thérapeutiques les plus importants en matière de lutte contre les maladies transmissibles, dans la mesure où cet approvisionnement ne peut être garanti au moyen des mesures prévues par la loi du 8 octobre 1982 sur l’approvisionnement du pays.</w:t>
      </w:r>
    </w:p>
    <w:p w14:paraId="59302A28" w14:textId="3F3AAD1A" w:rsidR="004259D0" w:rsidRPr="00DB6E61" w:rsidRDefault="004259D0" w:rsidP="005444E9">
      <w:pPr>
        <w:pStyle w:val="NormalWeb"/>
        <w:numPr>
          <w:ilvl w:val="0"/>
          <w:numId w:val="17"/>
        </w:numPr>
        <w:spacing w:before="120" w:beforeAutospacing="0" w:after="120" w:afterAutospacing="0" w:line="276" w:lineRule="auto"/>
        <w:jc w:val="both"/>
        <w:rPr>
          <w:rFonts w:ascii="Verdana" w:hAnsi="Verdana" w:cs="Arial"/>
          <w:i/>
          <w:iCs/>
          <w:sz w:val="20"/>
          <w:szCs w:val="20"/>
        </w:rPr>
      </w:pPr>
      <w:r w:rsidRPr="00DB6E61">
        <w:rPr>
          <w:rFonts w:ascii="Verdana" w:hAnsi="Verdana" w:cs="Arial"/>
          <w:i/>
          <w:iCs/>
          <w:sz w:val="20"/>
          <w:szCs w:val="20"/>
        </w:rPr>
        <w:t xml:space="preserve">Il peut édicter des dispositions sur les mesures </w:t>
      </w:r>
      <w:r w:rsidR="000E713E" w:rsidRPr="00DB6E61">
        <w:rPr>
          <w:rFonts w:ascii="Verdana" w:hAnsi="Verdana" w:cs="Arial"/>
          <w:i/>
          <w:iCs/>
          <w:sz w:val="20"/>
          <w:szCs w:val="20"/>
        </w:rPr>
        <w:t>suivantes :</w:t>
      </w:r>
    </w:p>
    <w:p w14:paraId="63F0D873" w14:textId="48E9275D" w:rsidR="004259D0" w:rsidRPr="00DB6E61" w:rsidRDefault="000E713E" w:rsidP="005444E9">
      <w:pPr>
        <w:pStyle w:val="Paragraphedeliste"/>
        <w:numPr>
          <w:ilvl w:val="0"/>
          <w:numId w:val="19"/>
        </w:numPr>
        <w:spacing w:before="120" w:after="120" w:line="276" w:lineRule="auto"/>
        <w:jc w:val="both"/>
        <w:rPr>
          <w:rFonts w:ascii="Verdana" w:hAnsi="Verdana" w:cs="Arial"/>
          <w:i/>
          <w:iCs/>
          <w:sz w:val="20"/>
          <w:szCs w:val="20"/>
        </w:rPr>
      </w:pPr>
      <w:r w:rsidRPr="00DB6E61">
        <w:rPr>
          <w:rFonts w:ascii="Verdana" w:hAnsi="Verdana" w:cs="Arial"/>
          <w:i/>
          <w:iCs/>
          <w:sz w:val="20"/>
          <w:szCs w:val="20"/>
        </w:rPr>
        <w:t>L’attribution</w:t>
      </w:r>
      <w:r w:rsidR="004259D0" w:rsidRPr="00DB6E61">
        <w:rPr>
          <w:rFonts w:ascii="Verdana" w:hAnsi="Verdana" w:cs="Arial"/>
          <w:i/>
          <w:iCs/>
          <w:sz w:val="20"/>
          <w:szCs w:val="20"/>
        </w:rPr>
        <w:t xml:space="preserve"> de ces </w:t>
      </w:r>
      <w:r w:rsidRPr="00DB6E61">
        <w:rPr>
          <w:rFonts w:ascii="Verdana" w:hAnsi="Verdana" w:cs="Arial"/>
          <w:i/>
          <w:iCs/>
          <w:sz w:val="20"/>
          <w:szCs w:val="20"/>
        </w:rPr>
        <w:t>produits ;</w:t>
      </w:r>
    </w:p>
    <w:p w14:paraId="5953CFC5" w14:textId="65B1C8F7" w:rsidR="004259D0" w:rsidRPr="00DB6E61" w:rsidRDefault="000E713E" w:rsidP="005444E9">
      <w:pPr>
        <w:pStyle w:val="Paragraphedeliste"/>
        <w:numPr>
          <w:ilvl w:val="0"/>
          <w:numId w:val="19"/>
        </w:numPr>
        <w:spacing w:before="120" w:after="120" w:line="276" w:lineRule="auto"/>
        <w:jc w:val="both"/>
        <w:rPr>
          <w:rFonts w:ascii="Verdana" w:hAnsi="Verdana" w:cs="Arial"/>
          <w:i/>
          <w:iCs/>
          <w:sz w:val="20"/>
          <w:szCs w:val="20"/>
        </w:rPr>
      </w:pPr>
      <w:r w:rsidRPr="00DB6E61">
        <w:rPr>
          <w:rFonts w:ascii="Verdana" w:hAnsi="Verdana" w:cs="Arial"/>
          <w:i/>
          <w:iCs/>
          <w:sz w:val="20"/>
          <w:szCs w:val="20"/>
        </w:rPr>
        <w:t>La</w:t>
      </w:r>
      <w:r w:rsidR="004259D0" w:rsidRPr="00DB6E61">
        <w:rPr>
          <w:rFonts w:ascii="Verdana" w:hAnsi="Verdana" w:cs="Arial"/>
          <w:i/>
          <w:iCs/>
          <w:sz w:val="20"/>
          <w:szCs w:val="20"/>
        </w:rPr>
        <w:t xml:space="preserve"> distribution de ces </w:t>
      </w:r>
      <w:r w:rsidRPr="00DB6E61">
        <w:rPr>
          <w:rFonts w:ascii="Verdana" w:hAnsi="Verdana" w:cs="Arial"/>
          <w:i/>
          <w:iCs/>
          <w:sz w:val="20"/>
          <w:szCs w:val="20"/>
        </w:rPr>
        <w:t>produits ;</w:t>
      </w:r>
      <w:r w:rsidR="004259D0" w:rsidRPr="00DB6E61">
        <w:rPr>
          <w:rFonts w:ascii="Verdana" w:hAnsi="Verdana" w:cs="Arial"/>
          <w:i/>
          <w:iCs/>
          <w:sz w:val="20"/>
          <w:szCs w:val="20"/>
        </w:rPr>
        <w:t xml:space="preserve"> (…). </w:t>
      </w:r>
    </w:p>
    <w:p w14:paraId="76722332" w14:textId="4391E698" w:rsidR="008E299B" w:rsidRPr="00DB6E61" w:rsidRDefault="008E299B" w:rsidP="005444E9">
      <w:pPr>
        <w:pStyle w:val="Paragraphedeliste"/>
        <w:numPr>
          <w:ilvl w:val="0"/>
          <w:numId w:val="19"/>
        </w:numPr>
        <w:spacing w:before="120" w:after="120" w:line="276" w:lineRule="auto"/>
        <w:jc w:val="both"/>
        <w:rPr>
          <w:rFonts w:ascii="Verdana" w:hAnsi="Verdana" w:cs="Arial"/>
          <w:i/>
          <w:iCs/>
          <w:sz w:val="20"/>
          <w:szCs w:val="20"/>
        </w:rPr>
      </w:pPr>
      <w:r w:rsidRPr="00DB6E61">
        <w:rPr>
          <w:rFonts w:ascii="Verdana" w:hAnsi="Verdana" w:cs="Arial"/>
          <w:i/>
          <w:iCs/>
          <w:sz w:val="20"/>
          <w:szCs w:val="20"/>
        </w:rPr>
        <w:t>(…)</w:t>
      </w:r>
    </w:p>
    <w:p w14:paraId="4F482CE2" w14:textId="10286DB0" w:rsidR="008E299B" w:rsidRPr="00DB6E61" w:rsidRDefault="000E713E" w:rsidP="005444E9">
      <w:pPr>
        <w:pStyle w:val="Paragraphedeliste"/>
        <w:numPr>
          <w:ilvl w:val="0"/>
          <w:numId w:val="19"/>
        </w:numPr>
        <w:spacing w:before="120" w:after="120" w:line="276" w:lineRule="auto"/>
        <w:jc w:val="both"/>
        <w:rPr>
          <w:rFonts w:ascii="Verdana" w:hAnsi="Verdana" w:cs="Arial"/>
          <w:i/>
          <w:iCs/>
          <w:sz w:val="20"/>
          <w:szCs w:val="20"/>
        </w:rPr>
      </w:pPr>
      <w:r w:rsidRPr="00DB6E61">
        <w:rPr>
          <w:rFonts w:ascii="Verdana" w:hAnsi="Verdana" w:cs="Arial"/>
          <w:i/>
          <w:iCs/>
          <w:sz w:val="20"/>
          <w:szCs w:val="20"/>
        </w:rPr>
        <w:t>La</w:t>
      </w:r>
      <w:r w:rsidR="008E299B" w:rsidRPr="00DB6E61">
        <w:rPr>
          <w:rFonts w:ascii="Verdana" w:hAnsi="Verdana" w:cs="Arial"/>
          <w:i/>
          <w:iCs/>
          <w:sz w:val="20"/>
          <w:szCs w:val="20"/>
        </w:rPr>
        <w:t xml:space="preserve"> constitution de réserves de produits thérapeutiques dans les hôpitaux et les autres institutions sanitaires. </w:t>
      </w:r>
    </w:p>
    <w:p w14:paraId="087F53AA" w14:textId="2B45FA3C" w:rsidR="008E299B" w:rsidRPr="00DB6E61" w:rsidRDefault="008E299B" w:rsidP="005444E9">
      <w:pPr>
        <w:spacing w:before="120" w:after="120" w:line="276" w:lineRule="auto"/>
        <w:jc w:val="both"/>
        <w:rPr>
          <w:rFonts w:ascii="Verdana" w:hAnsi="Verdana" w:cs="Arial"/>
          <w:sz w:val="20"/>
          <w:szCs w:val="20"/>
        </w:rPr>
      </w:pPr>
      <w:r w:rsidRPr="00DB6E61">
        <w:rPr>
          <w:rFonts w:ascii="Verdana" w:hAnsi="Verdana" w:cs="Arial"/>
          <w:sz w:val="20"/>
          <w:szCs w:val="20"/>
        </w:rPr>
        <w:t>L’ordonnance (</w:t>
      </w:r>
      <w:proofErr w:type="spellStart"/>
      <w:r w:rsidRPr="00DB6E61">
        <w:rPr>
          <w:rFonts w:ascii="Verdana" w:hAnsi="Verdana" w:cs="Arial"/>
          <w:sz w:val="20"/>
          <w:szCs w:val="20"/>
        </w:rPr>
        <w:t>OEp</w:t>
      </w:r>
      <w:proofErr w:type="spellEnd"/>
      <w:r w:rsidRPr="00DB6E61">
        <w:rPr>
          <w:rFonts w:ascii="Verdana" w:hAnsi="Verdana" w:cs="Arial"/>
          <w:sz w:val="20"/>
          <w:szCs w:val="20"/>
        </w:rPr>
        <w:t xml:space="preserve">) prévoit les conditions auxquelles un cadavre peut être transporté et inhumé, que ce soit en Suisse ou à l’étranger (art. 46 </w:t>
      </w:r>
      <w:proofErr w:type="spellStart"/>
      <w:r w:rsidRPr="00DB6E61">
        <w:rPr>
          <w:rFonts w:ascii="Verdana" w:hAnsi="Verdana" w:cs="Arial"/>
          <w:sz w:val="20"/>
          <w:szCs w:val="20"/>
        </w:rPr>
        <w:t>LEp</w:t>
      </w:r>
      <w:proofErr w:type="spellEnd"/>
      <w:r w:rsidRPr="00DB6E61">
        <w:rPr>
          <w:rFonts w:ascii="Verdana" w:hAnsi="Verdana" w:cs="Arial"/>
          <w:sz w:val="20"/>
          <w:szCs w:val="20"/>
        </w:rPr>
        <w:t xml:space="preserve">). </w:t>
      </w:r>
    </w:p>
    <w:p w14:paraId="5623C7B0" w14:textId="77777777" w:rsidR="00FF6A48" w:rsidRDefault="00FF6A48">
      <w:pPr>
        <w:rPr>
          <w:rFonts w:ascii="Verdana" w:hAnsi="Verdana" w:cs="Arial"/>
          <w:b/>
          <w:bCs/>
          <w:sz w:val="20"/>
          <w:szCs w:val="20"/>
        </w:rPr>
      </w:pPr>
      <w:r>
        <w:rPr>
          <w:rFonts w:ascii="Verdana" w:hAnsi="Verdana" w:cs="Arial"/>
          <w:b/>
          <w:bCs/>
          <w:sz w:val="20"/>
          <w:szCs w:val="20"/>
        </w:rPr>
        <w:br w:type="page"/>
      </w:r>
    </w:p>
    <w:p w14:paraId="0427F972" w14:textId="512A12E5" w:rsidR="008E299B" w:rsidRPr="00DB6E61" w:rsidRDefault="008E299B" w:rsidP="005444E9">
      <w:pPr>
        <w:pStyle w:val="Paragraphedeliste"/>
        <w:numPr>
          <w:ilvl w:val="0"/>
          <w:numId w:val="15"/>
        </w:numPr>
        <w:spacing w:before="120" w:after="120" w:line="276" w:lineRule="auto"/>
        <w:jc w:val="both"/>
        <w:rPr>
          <w:rFonts w:ascii="Verdana" w:hAnsi="Verdana" w:cs="Arial"/>
          <w:b/>
          <w:bCs/>
          <w:sz w:val="20"/>
          <w:szCs w:val="20"/>
        </w:rPr>
      </w:pPr>
      <w:r w:rsidRPr="00DB6E61">
        <w:rPr>
          <w:rFonts w:ascii="Verdana" w:hAnsi="Verdana" w:cs="Arial"/>
          <w:b/>
          <w:bCs/>
          <w:sz w:val="20"/>
          <w:szCs w:val="20"/>
        </w:rPr>
        <w:lastRenderedPageBreak/>
        <w:t xml:space="preserve">Conditions d’adoption des mesures urgentes (Cst) </w:t>
      </w:r>
    </w:p>
    <w:p w14:paraId="2BDD5E8B" w14:textId="0B6E2888" w:rsidR="008E299B" w:rsidRPr="00DB6E61" w:rsidRDefault="008E299B" w:rsidP="005444E9">
      <w:pPr>
        <w:spacing w:before="120" w:after="120" w:line="276" w:lineRule="auto"/>
        <w:jc w:val="both"/>
        <w:rPr>
          <w:rFonts w:ascii="Verdana" w:hAnsi="Verdana" w:cs="Arial"/>
          <w:b/>
          <w:bCs/>
          <w:sz w:val="20"/>
          <w:szCs w:val="20"/>
        </w:rPr>
      </w:pPr>
      <w:r w:rsidRPr="00DB6E61">
        <w:rPr>
          <w:rFonts w:ascii="Verdana" w:hAnsi="Verdana" w:cs="Arial"/>
          <w:b/>
          <w:bCs/>
          <w:sz w:val="20"/>
          <w:szCs w:val="20"/>
        </w:rPr>
        <w:t>Art. 165 Cst (législation d’urgence)</w:t>
      </w:r>
    </w:p>
    <w:p w14:paraId="1EB4FD71" w14:textId="53374C12"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bookmarkStart w:id="3" w:name="1"/>
      <w:r w:rsidRPr="00DB6E61">
        <w:rPr>
          <w:rFonts w:ascii="Verdana" w:hAnsi="Verdana" w:cs="Arial"/>
          <w:i/>
          <w:iCs/>
          <w:sz w:val="20"/>
          <w:szCs w:val="20"/>
          <w:vertAlign w:val="superscript"/>
        </w:rPr>
        <w:t>1</w:t>
      </w:r>
      <w:bookmarkEnd w:id="3"/>
      <w:r w:rsidRPr="00DB6E61">
        <w:rPr>
          <w:rFonts w:ascii="Verdana" w:hAnsi="Verdana" w:cs="Arial"/>
          <w:i/>
          <w:iCs/>
          <w:sz w:val="20"/>
          <w:szCs w:val="20"/>
        </w:rPr>
        <w:t> Une loi fédérale dont l’entrée en vigueur ne souffre aucun retard peut être déclarée urgente et entrer immédiatement en vigueur par une décision prise à la majorité des membres de chacun des conseils. Sa validité doit être limitée dans le temps.</w:t>
      </w:r>
    </w:p>
    <w:p w14:paraId="206B951F" w14:textId="050DB1D2"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bookmarkStart w:id="4" w:name="2"/>
      <w:r w:rsidRPr="00DB6E61">
        <w:rPr>
          <w:rFonts w:ascii="Verdana" w:hAnsi="Verdana" w:cs="Arial"/>
          <w:i/>
          <w:iCs/>
          <w:sz w:val="20"/>
          <w:szCs w:val="20"/>
          <w:vertAlign w:val="superscript"/>
        </w:rPr>
        <w:t>2</w:t>
      </w:r>
      <w:bookmarkEnd w:id="4"/>
      <w:r w:rsidRPr="00DB6E61">
        <w:rPr>
          <w:rFonts w:ascii="Verdana" w:hAnsi="Verdana" w:cs="Arial"/>
          <w:i/>
          <w:iCs/>
          <w:sz w:val="20"/>
          <w:szCs w:val="20"/>
        </w:rPr>
        <w:t> Lorsque le référendum est demandé contre une loi fédérale déclarée urgente, cette dernière cesse de produire effet un an après son adoption par l’Assemblée fédérale si elle n’a pas été acceptée par le peuple dans ce délai.</w:t>
      </w:r>
    </w:p>
    <w:p w14:paraId="5A447B29" w14:textId="2963FBA1"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bookmarkStart w:id="5" w:name="3"/>
      <w:r w:rsidRPr="00DB6E61">
        <w:rPr>
          <w:rFonts w:ascii="Verdana" w:hAnsi="Verdana" w:cs="Arial"/>
          <w:i/>
          <w:iCs/>
          <w:sz w:val="20"/>
          <w:szCs w:val="20"/>
          <w:vertAlign w:val="superscript"/>
        </w:rPr>
        <w:t>3</w:t>
      </w:r>
      <w:bookmarkEnd w:id="5"/>
      <w:r w:rsidRPr="00DB6E61">
        <w:rPr>
          <w:rFonts w:ascii="Verdana" w:hAnsi="Verdana" w:cs="Arial"/>
          <w:i/>
          <w:iCs/>
          <w:sz w:val="20"/>
          <w:szCs w:val="20"/>
        </w:rPr>
        <w:t> Lorsqu’une loi fédérale déclarée urgente est dépourvue de base constitutionnelle, elle cesse de produire effet un an après son adoption par l’Assemblée fédérale si elle n’a pas été acceptée dans ce délai par le peuple et les cantons. Sa validité doit être limitée dans le temps.</w:t>
      </w:r>
    </w:p>
    <w:p w14:paraId="1035B6E1" w14:textId="77777777" w:rsidR="008E299B" w:rsidRPr="00DB6E61" w:rsidRDefault="008E299B" w:rsidP="005444E9">
      <w:pPr>
        <w:pStyle w:val="NormalWeb"/>
        <w:spacing w:before="120" w:beforeAutospacing="0" w:after="120" w:afterAutospacing="0" w:line="276" w:lineRule="auto"/>
        <w:rPr>
          <w:rFonts w:ascii="Verdana" w:hAnsi="Verdana" w:cs="Arial"/>
          <w:i/>
          <w:iCs/>
          <w:sz w:val="20"/>
          <w:szCs w:val="20"/>
        </w:rPr>
      </w:pPr>
      <w:bookmarkStart w:id="6" w:name="4"/>
      <w:r w:rsidRPr="00DB6E61">
        <w:rPr>
          <w:rFonts w:ascii="Verdana" w:hAnsi="Verdana" w:cs="Arial"/>
          <w:i/>
          <w:iCs/>
          <w:sz w:val="20"/>
          <w:szCs w:val="20"/>
          <w:vertAlign w:val="superscript"/>
        </w:rPr>
        <w:t>4</w:t>
      </w:r>
      <w:bookmarkEnd w:id="6"/>
      <w:r w:rsidRPr="00DB6E61">
        <w:rPr>
          <w:rFonts w:ascii="Verdana" w:hAnsi="Verdana" w:cs="Arial"/>
          <w:i/>
          <w:iCs/>
          <w:sz w:val="20"/>
          <w:szCs w:val="20"/>
        </w:rPr>
        <w:t> Une loi fédérale déclarée urgente qui n’a pas été acceptée en votation ne peut pas être renouvelée.</w:t>
      </w:r>
    </w:p>
    <w:p w14:paraId="0655301B" w14:textId="57D63601" w:rsidR="008E299B" w:rsidRPr="00DB6E61" w:rsidRDefault="008E299B" w:rsidP="005444E9">
      <w:pPr>
        <w:spacing w:before="120" w:after="120" w:line="276" w:lineRule="auto"/>
        <w:jc w:val="both"/>
        <w:rPr>
          <w:rFonts w:ascii="Verdana" w:hAnsi="Verdana" w:cs="Arial"/>
          <w:sz w:val="20"/>
          <w:szCs w:val="20"/>
        </w:rPr>
      </w:pPr>
      <w:r w:rsidRPr="00DB6E61">
        <w:rPr>
          <w:rFonts w:ascii="Verdana" w:hAnsi="Verdana" w:cs="Arial"/>
          <w:b/>
          <w:bCs/>
          <w:sz w:val="20"/>
          <w:szCs w:val="20"/>
        </w:rPr>
        <w:t>Art. 185 Cst (sécurité extérieure et sécurité intérieure)</w:t>
      </w:r>
    </w:p>
    <w:p w14:paraId="464EEADB" w14:textId="097612FE"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r w:rsidRPr="00DB6E61">
        <w:rPr>
          <w:rFonts w:ascii="Verdana" w:hAnsi="Verdana" w:cs="Arial"/>
          <w:i/>
          <w:iCs/>
          <w:sz w:val="20"/>
          <w:szCs w:val="20"/>
          <w:vertAlign w:val="superscript"/>
        </w:rPr>
        <w:t>1</w:t>
      </w:r>
      <w:r w:rsidRPr="00DB6E61">
        <w:rPr>
          <w:rFonts w:ascii="Verdana" w:hAnsi="Verdana" w:cs="Arial"/>
          <w:i/>
          <w:iCs/>
          <w:sz w:val="20"/>
          <w:szCs w:val="20"/>
        </w:rPr>
        <w:t> Le Conseil fédéral prend des mesures pour préserver la sécurité extérieure, l’indépendance et la neutralité de la Suisse.</w:t>
      </w:r>
    </w:p>
    <w:p w14:paraId="5C94B138" w14:textId="0E031F7C"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r w:rsidRPr="00DB6E61">
        <w:rPr>
          <w:rFonts w:ascii="Verdana" w:hAnsi="Verdana" w:cs="Arial"/>
          <w:i/>
          <w:iCs/>
          <w:sz w:val="20"/>
          <w:szCs w:val="20"/>
          <w:vertAlign w:val="superscript"/>
        </w:rPr>
        <w:t>2</w:t>
      </w:r>
      <w:r w:rsidRPr="00DB6E61">
        <w:rPr>
          <w:rFonts w:ascii="Verdana" w:hAnsi="Verdana" w:cs="Arial"/>
          <w:i/>
          <w:iCs/>
          <w:sz w:val="20"/>
          <w:szCs w:val="20"/>
        </w:rPr>
        <w:t> Il prend des mesures pour préserver la sécurité intérieure.</w:t>
      </w:r>
    </w:p>
    <w:p w14:paraId="4F5F8D21" w14:textId="50E5DB83"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r w:rsidRPr="00DB6E61">
        <w:rPr>
          <w:rFonts w:ascii="Verdana" w:hAnsi="Verdana" w:cs="Arial"/>
          <w:i/>
          <w:iCs/>
          <w:sz w:val="20"/>
          <w:szCs w:val="20"/>
          <w:vertAlign w:val="superscript"/>
        </w:rPr>
        <w:t>3</w:t>
      </w:r>
      <w:r w:rsidRPr="00DB6E61">
        <w:rPr>
          <w:rFonts w:ascii="Verdana" w:hAnsi="Verdana" w:cs="Arial"/>
          <w:i/>
          <w:iCs/>
          <w:sz w:val="20"/>
          <w:szCs w:val="20"/>
        </w:rPr>
        <w:t xml:space="preserve"> Il peut s’appuyer directement sur le présent article pour édicter des ordonnances et prendre des décisions, en vue de parer à des troubles existants ou imminents menaçant gravement l’ordre public, la sécurité extérieure ou la sécurité intérieure. Ces ordonnances doivent être limitées dans le temps. (…) </w:t>
      </w:r>
    </w:p>
    <w:p w14:paraId="1D23228F" w14:textId="67F185FD"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p>
    <w:p w14:paraId="37AE2409" w14:textId="2EA9410A"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p>
    <w:p w14:paraId="31CB89AE" w14:textId="686DAFE0"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p>
    <w:p w14:paraId="53011225" w14:textId="6B21F340" w:rsidR="008E299B" w:rsidRPr="00DB6E61" w:rsidRDefault="008E299B" w:rsidP="005444E9">
      <w:pPr>
        <w:pStyle w:val="NormalWeb"/>
        <w:spacing w:before="120" w:beforeAutospacing="0" w:after="120" w:afterAutospacing="0" w:line="276" w:lineRule="auto"/>
        <w:jc w:val="both"/>
        <w:rPr>
          <w:rFonts w:ascii="Verdana" w:hAnsi="Verdana" w:cs="Arial"/>
          <w:i/>
          <w:iCs/>
          <w:sz w:val="20"/>
          <w:szCs w:val="20"/>
        </w:rPr>
      </w:pPr>
    </w:p>
    <w:p w14:paraId="2616E6FD" w14:textId="77777777" w:rsidR="007078AC" w:rsidRDefault="007078AC" w:rsidP="005444E9">
      <w:pPr>
        <w:pStyle w:val="NormalWeb"/>
        <w:spacing w:before="120" w:beforeAutospacing="0" w:after="120" w:afterAutospacing="0" w:line="276" w:lineRule="auto"/>
        <w:jc w:val="both"/>
        <w:rPr>
          <w:rFonts w:ascii="Verdana" w:hAnsi="Verdana" w:cs="Arial"/>
          <w:i/>
          <w:iCs/>
          <w:sz w:val="20"/>
          <w:szCs w:val="20"/>
        </w:rPr>
        <w:sectPr w:rsidR="007078AC" w:rsidSect="00EC1497">
          <w:headerReference w:type="even" r:id="rId40"/>
          <w:headerReference w:type="default" r:id="rId41"/>
          <w:footerReference w:type="even" r:id="rId42"/>
          <w:footerReference w:type="default" r:id="rId43"/>
          <w:headerReference w:type="first" r:id="rId44"/>
          <w:footerReference w:type="first" r:id="rId45"/>
          <w:pgSz w:w="11906" w:h="16838"/>
          <w:pgMar w:top="1417" w:right="1133" w:bottom="1417" w:left="1417" w:header="708" w:footer="237" w:gutter="0"/>
          <w:cols w:space="708"/>
          <w:titlePg/>
          <w:docGrid w:linePitch="360"/>
        </w:sectPr>
      </w:pPr>
    </w:p>
    <w:p w14:paraId="107DC7FA" w14:textId="06BBE00F" w:rsidR="008E299B" w:rsidRPr="00DB6E61" w:rsidRDefault="00866E21" w:rsidP="002F1D67">
      <w:pPr>
        <w:pStyle w:val="Titre1"/>
      </w:pPr>
      <w:bookmarkStart w:id="7" w:name="_Toc131489870"/>
      <w:r>
        <w:lastRenderedPageBreak/>
        <w:t>LES BASES LEGALES DES DIFFERENTES ORDONNANCES DU CONSEIL FEDERAL</w:t>
      </w:r>
      <w:bookmarkEnd w:id="7"/>
    </w:p>
    <w:p w14:paraId="6305F779" w14:textId="36469D15" w:rsidR="008E299B" w:rsidRPr="00DB6E61" w:rsidRDefault="00866E21" w:rsidP="005444E9">
      <w:pPr>
        <w:spacing w:before="120" w:after="120" w:line="276" w:lineRule="auto"/>
        <w:jc w:val="both"/>
        <w:rPr>
          <w:rFonts w:ascii="Verdana" w:hAnsi="Verdana" w:cs="Arial"/>
          <w:sz w:val="20"/>
          <w:szCs w:val="20"/>
        </w:rPr>
      </w:pPr>
      <w:r w:rsidRPr="00DB6E61">
        <w:rPr>
          <w:rFonts w:ascii="Verdana" w:hAnsi="Verdana" w:cs="Arial"/>
          <w:noProof/>
          <w:sz w:val="20"/>
          <w:szCs w:val="20"/>
        </w:rPr>
        <w:drawing>
          <wp:anchor distT="0" distB="0" distL="114300" distR="114300" simplePos="0" relativeHeight="251659264" behindDoc="0" locked="0" layoutInCell="1" allowOverlap="1" wp14:anchorId="654DFE37" wp14:editId="544B2602">
            <wp:simplePos x="0" y="0"/>
            <wp:positionH relativeFrom="margin">
              <wp:align>left</wp:align>
            </wp:positionH>
            <wp:positionV relativeFrom="paragraph">
              <wp:posOffset>87812</wp:posOffset>
            </wp:positionV>
            <wp:extent cx="8388350" cy="4671392"/>
            <wp:effectExtent l="0" t="0" r="0" b="0"/>
            <wp:wrapNone/>
            <wp:docPr id="1" name="Image 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rotWithShape="1">
                    <a:blip r:embed="rId46">
                      <a:extLst>
                        <a:ext uri="{28A0092B-C50C-407E-A947-70E740481C1C}">
                          <a14:useLocalDpi xmlns:a14="http://schemas.microsoft.com/office/drawing/2010/main" val="0"/>
                        </a:ext>
                      </a:extLst>
                    </a:blip>
                    <a:srcRect t="21595" b="1097"/>
                    <a:stretch/>
                  </pic:blipFill>
                  <pic:spPr bwMode="auto">
                    <a:xfrm>
                      <a:off x="0" y="0"/>
                      <a:ext cx="8394490" cy="46748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9B6087" w14:textId="43EEABEE" w:rsidR="00866E21" w:rsidRDefault="00866E21" w:rsidP="005444E9">
      <w:pPr>
        <w:spacing w:before="120" w:after="120" w:line="276" w:lineRule="auto"/>
        <w:rPr>
          <w:rFonts w:ascii="Verdana" w:hAnsi="Verdana" w:cs="Arial"/>
          <w:sz w:val="20"/>
          <w:szCs w:val="20"/>
        </w:rPr>
      </w:pPr>
      <w:r>
        <w:rPr>
          <w:rFonts w:ascii="Verdana" w:hAnsi="Verdana" w:cs="Arial"/>
          <w:sz w:val="20"/>
          <w:szCs w:val="20"/>
        </w:rPr>
        <w:br w:type="page"/>
      </w:r>
    </w:p>
    <w:p w14:paraId="504BC89D" w14:textId="2E12E821" w:rsidR="007E6DEE" w:rsidRDefault="00866E21" w:rsidP="002F1D67">
      <w:pPr>
        <w:pStyle w:val="Titre1"/>
      </w:pPr>
      <w:bookmarkStart w:id="8" w:name="_Toc131489871"/>
      <w:r>
        <w:lastRenderedPageBreak/>
        <w:t>LOI FEDERALE URGENTE</w:t>
      </w:r>
      <w:bookmarkEnd w:id="8"/>
    </w:p>
    <w:p w14:paraId="1F76B059" w14:textId="265FFBB4" w:rsidR="007C772F" w:rsidRPr="007C772F" w:rsidRDefault="007C772F" w:rsidP="007C772F">
      <w:pPr>
        <w:rPr>
          <w:lang w:val="fr-FR" w:eastAsia="zh-CN"/>
        </w:rPr>
      </w:pPr>
      <w:r>
        <w:rPr>
          <w:noProof/>
        </w:rPr>
        <w:drawing>
          <wp:anchor distT="0" distB="0" distL="114300" distR="114300" simplePos="0" relativeHeight="251660288" behindDoc="0" locked="0" layoutInCell="1" allowOverlap="1" wp14:anchorId="2315FA59" wp14:editId="055F998D">
            <wp:simplePos x="0" y="0"/>
            <wp:positionH relativeFrom="column">
              <wp:posOffset>872092</wp:posOffset>
            </wp:positionH>
            <wp:positionV relativeFrom="paragraph">
              <wp:posOffset>3433</wp:posOffset>
            </wp:positionV>
            <wp:extent cx="6460490" cy="5516754"/>
            <wp:effectExtent l="0" t="0" r="0" b="8255"/>
            <wp:wrapNone/>
            <wp:docPr id="1936275673" name="Image 1"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75673" name="Image 1" descr="Une image contenant diagramme&#10;&#10;Description générée automatiquemen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70888" cy="552563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C772F" w:rsidRPr="007C772F" w:rsidSect="007C772F">
      <w:pgSz w:w="16838" w:h="11906" w:orient="landscape"/>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AA832" w14:textId="77777777" w:rsidR="0005022A" w:rsidRDefault="0005022A" w:rsidP="001B0CAA">
      <w:pPr>
        <w:spacing w:after="0" w:line="240" w:lineRule="auto"/>
      </w:pPr>
      <w:r>
        <w:separator/>
      </w:r>
    </w:p>
  </w:endnote>
  <w:endnote w:type="continuationSeparator" w:id="0">
    <w:p w14:paraId="4D1D60C6" w14:textId="77777777" w:rsidR="0005022A" w:rsidRDefault="0005022A" w:rsidP="001B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4B5B" w14:textId="77777777" w:rsidR="00130E47" w:rsidRDefault="00130E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5741864"/>
      <w:docPartObj>
        <w:docPartGallery w:val="Page Numbers (Bottom of Page)"/>
        <w:docPartUnique/>
      </w:docPartObj>
    </w:sdtPr>
    <w:sdtContent>
      <w:sdt>
        <w:sdtPr>
          <w:rPr>
            <w:rFonts w:eastAsia="Arial"/>
            <w:lang w:val="de-DE"/>
          </w:rPr>
          <w:id w:val="-1734072147"/>
          <w:docPartObj>
            <w:docPartGallery w:val="Page Numbers (Bottom of Page)"/>
            <w:docPartUnique/>
          </w:docPartObj>
        </w:sdtPr>
        <w:sdtContent>
          <w:sdt>
            <w:sdtPr>
              <w:rPr>
                <w:rFonts w:eastAsia="Arial"/>
                <w:lang w:val="de-DE"/>
              </w:rPr>
              <w:id w:val="-1317716403"/>
              <w:docPartObj>
                <w:docPartGallery w:val="Page Numbers (Top of Page)"/>
                <w:docPartUnique/>
              </w:docPartObj>
            </w:sdtPr>
            <w:sdtContent>
              <w:sdt>
                <w:sdtPr>
                  <w:rPr>
                    <w:rFonts w:eastAsia="Arial"/>
                    <w:lang w:val="de-DE"/>
                  </w:rPr>
                  <w:id w:val="-467972122"/>
                  <w:docPartObj>
                    <w:docPartGallery w:val="Page Numbers (Top of Page)"/>
                    <w:docPartUnique/>
                  </w:docPartObj>
                </w:sdtPr>
                <w:sdtContent>
                  <w:p w14:paraId="3D29D930" w14:textId="54E31516" w:rsidR="00393D70" w:rsidRPr="00EC1497" w:rsidRDefault="00EC1497" w:rsidP="00EC1497">
                    <w:pPr>
                      <w:pBdr>
                        <w:top w:val="single" w:sz="4" w:space="6" w:color="4C204A"/>
                      </w:pBdr>
                      <w:tabs>
                        <w:tab w:val="right" w:pos="9072"/>
                      </w:tabs>
                      <w:jc w:val="right"/>
                      <w:rPr>
                        <w:rFonts w:eastAsia="Arial"/>
                        <w:lang w:val="de-DE"/>
                      </w:rPr>
                    </w:pPr>
                    <w:r w:rsidRPr="00B0585D">
                      <w:rPr>
                        <w:rFonts w:eastAsia="Arial"/>
                      </w:rPr>
                      <w:t xml:space="preserve">Page </w:t>
                    </w:r>
                    <w:r w:rsidRPr="00B0585D">
                      <w:rPr>
                        <w:rFonts w:eastAsia="Arial"/>
                        <w:b/>
                        <w:bCs/>
                        <w:lang w:val="de-DE"/>
                      </w:rPr>
                      <w:fldChar w:fldCharType="begin"/>
                    </w:r>
                    <w:r w:rsidRPr="00B0585D">
                      <w:rPr>
                        <w:rFonts w:eastAsia="Arial"/>
                        <w:b/>
                        <w:bCs/>
                        <w:lang w:val="de-DE"/>
                      </w:rPr>
                      <w:instrText>PAGE</w:instrText>
                    </w:r>
                    <w:r w:rsidRPr="00B0585D">
                      <w:rPr>
                        <w:rFonts w:eastAsia="Arial"/>
                        <w:b/>
                        <w:bCs/>
                        <w:lang w:val="de-DE"/>
                      </w:rPr>
                      <w:fldChar w:fldCharType="separate"/>
                    </w:r>
                    <w:r>
                      <w:rPr>
                        <w:rFonts w:eastAsia="Arial"/>
                        <w:b/>
                        <w:bCs/>
                        <w:lang w:val="de-DE"/>
                      </w:rPr>
                      <w:t>2</w:t>
                    </w:r>
                    <w:r w:rsidRPr="00B0585D">
                      <w:rPr>
                        <w:rFonts w:eastAsia="Arial"/>
                        <w:b/>
                        <w:bCs/>
                        <w:lang w:val="de-DE"/>
                      </w:rPr>
                      <w:fldChar w:fldCharType="end"/>
                    </w:r>
                    <w:r w:rsidRPr="00B0585D">
                      <w:rPr>
                        <w:rFonts w:eastAsia="Arial"/>
                      </w:rPr>
                      <w:t xml:space="preserve"> sur </w:t>
                    </w:r>
                    <w:r w:rsidRPr="00B0585D">
                      <w:rPr>
                        <w:rFonts w:eastAsia="Arial"/>
                        <w:b/>
                        <w:bCs/>
                        <w:lang w:val="de-DE"/>
                      </w:rPr>
                      <w:fldChar w:fldCharType="begin"/>
                    </w:r>
                    <w:r w:rsidRPr="00B0585D">
                      <w:rPr>
                        <w:rFonts w:eastAsia="Arial"/>
                        <w:b/>
                        <w:bCs/>
                        <w:lang w:val="de-DE"/>
                      </w:rPr>
                      <w:instrText>NUMPAGES</w:instrText>
                    </w:r>
                    <w:r w:rsidRPr="00B0585D">
                      <w:rPr>
                        <w:rFonts w:eastAsia="Arial"/>
                        <w:b/>
                        <w:bCs/>
                        <w:lang w:val="de-DE"/>
                      </w:rPr>
                      <w:fldChar w:fldCharType="separate"/>
                    </w:r>
                    <w:r>
                      <w:rPr>
                        <w:rFonts w:eastAsia="Arial"/>
                        <w:b/>
                        <w:bCs/>
                        <w:lang w:val="de-DE"/>
                      </w:rPr>
                      <w:t>13</w:t>
                    </w:r>
                    <w:r w:rsidRPr="00B0585D">
                      <w:rPr>
                        <w:rFonts w:eastAsia="Arial"/>
                        <w:b/>
                        <w:bCs/>
                        <w:lang w:val="de-DE"/>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B438" w14:textId="77777777" w:rsidR="00130E47" w:rsidRDefault="00130E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78A1B" w14:textId="77777777" w:rsidR="0005022A" w:rsidRDefault="0005022A" w:rsidP="001B0CAA">
      <w:pPr>
        <w:spacing w:after="0" w:line="240" w:lineRule="auto"/>
      </w:pPr>
      <w:r>
        <w:separator/>
      </w:r>
    </w:p>
  </w:footnote>
  <w:footnote w:type="continuationSeparator" w:id="0">
    <w:p w14:paraId="2A9E17DC" w14:textId="77777777" w:rsidR="0005022A" w:rsidRDefault="0005022A" w:rsidP="001B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EC5C" w14:textId="77777777" w:rsidR="00130E47" w:rsidRDefault="00130E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A68E" w14:textId="169D3992" w:rsidR="005F27B8" w:rsidRPr="00E317BA" w:rsidRDefault="00130E47" w:rsidP="00E317BA">
    <w:pPr>
      <w:pBdr>
        <w:bottom w:val="single" w:sz="12" w:space="1" w:color="2F5496" w:themeColor="accent1" w:themeShade="BF"/>
      </w:pBdr>
      <w:tabs>
        <w:tab w:val="center" w:pos="4536"/>
      </w:tabs>
      <w:jc w:val="right"/>
      <w:rPr>
        <w:rFonts w:eastAsia="Arial"/>
        <w:b/>
        <w:bCs/>
        <w:color w:val="0070C0"/>
      </w:rPr>
    </w:pPr>
    <w:r w:rsidRPr="001A2D22">
      <w:rPr>
        <w:noProof/>
        <w:lang w:eastAsia="fr-CH"/>
      </w:rPr>
      <w:drawing>
        <wp:anchor distT="0" distB="0" distL="114300" distR="114300" simplePos="0" relativeHeight="251659264" behindDoc="0" locked="0" layoutInCell="1" allowOverlap="1" wp14:anchorId="24B12725" wp14:editId="59DA818A">
          <wp:simplePos x="0" y="0"/>
          <wp:positionH relativeFrom="column">
            <wp:posOffset>0</wp:posOffset>
          </wp:positionH>
          <wp:positionV relativeFrom="paragraph">
            <wp:posOffset>299101</wp:posOffset>
          </wp:positionV>
          <wp:extent cx="6048000" cy="21600"/>
          <wp:effectExtent l="0" t="0" r="0" b="0"/>
          <wp:wrapNone/>
          <wp:docPr id="1775324891" name="Image 1775324891"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CE79" w14:textId="77777777" w:rsidR="00130E47" w:rsidRDefault="00130E4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3.2pt;height:66.65pt" o:bullet="t">
        <v:imagedata r:id="rId1" o:title="cas"/>
      </v:shape>
    </w:pict>
  </w:numPicBullet>
  <w:abstractNum w:abstractNumId="0" w15:restartNumberingAfterBreak="0">
    <w:nsid w:val="04D62582"/>
    <w:multiLevelType w:val="hybridMultilevel"/>
    <w:tmpl w:val="600C12A8"/>
    <w:lvl w:ilvl="0" w:tplc="BD362F90">
      <w:start w:val="1"/>
      <w:numFmt w:val="decimal"/>
      <w:lvlText w:val="%1."/>
      <w:lvlJc w:val="left"/>
      <w:pPr>
        <w:ind w:left="360" w:hanging="360"/>
      </w:pPr>
      <w:rPr>
        <w:rFonts w:asciiTheme="minorHAnsi" w:eastAsiaTheme="minorHAnsi" w:hAnsiTheme="minorHAnsi" w:cstheme="minorBidi"/>
      </w:rPr>
    </w:lvl>
    <w:lvl w:ilvl="1" w:tplc="100C0019" w:tentative="1">
      <w:start w:val="1"/>
      <w:numFmt w:val="lowerLetter"/>
      <w:lvlText w:val="%2."/>
      <w:lvlJc w:val="left"/>
      <w:pPr>
        <w:ind w:left="720" w:hanging="360"/>
      </w:pPr>
    </w:lvl>
    <w:lvl w:ilvl="2" w:tplc="100C001B" w:tentative="1">
      <w:start w:val="1"/>
      <w:numFmt w:val="lowerRoman"/>
      <w:lvlText w:val="%3."/>
      <w:lvlJc w:val="right"/>
      <w:pPr>
        <w:ind w:left="1440" w:hanging="180"/>
      </w:pPr>
    </w:lvl>
    <w:lvl w:ilvl="3" w:tplc="100C000F" w:tentative="1">
      <w:start w:val="1"/>
      <w:numFmt w:val="decimal"/>
      <w:lvlText w:val="%4."/>
      <w:lvlJc w:val="left"/>
      <w:pPr>
        <w:ind w:left="2160" w:hanging="360"/>
      </w:pPr>
    </w:lvl>
    <w:lvl w:ilvl="4" w:tplc="100C0019" w:tentative="1">
      <w:start w:val="1"/>
      <w:numFmt w:val="lowerLetter"/>
      <w:lvlText w:val="%5."/>
      <w:lvlJc w:val="left"/>
      <w:pPr>
        <w:ind w:left="2880" w:hanging="360"/>
      </w:pPr>
    </w:lvl>
    <w:lvl w:ilvl="5" w:tplc="100C001B" w:tentative="1">
      <w:start w:val="1"/>
      <w:numFmt w:val="lowerRoman"/>
      <w:lvlText w:val="%6."/>
      <w:lvlJc w:val="right"/>
      <w:pPr>
        <w:ind w:left="3600" w:hanging="180"/>
      </w:pPr>
    </w:lvl>
    <w:lvl w:ilvl="6" w:tplc="100C000F" w:tentative="1">
      <w:start w:val="1"/>
      <w:numFmt w:val="decimal"/>
      <w:lvlText w:val="%7."/>
      <w:lvlJc w:val="left"/>
      <w:pPr>
        <w:ind w:left="4320" w:hanging="360"/>
      </w:pPr>
    </w:lvl>
    <w:lvl w:ilvl="7" w:tplc="100C0019" w:tentative="1">
      <w:start w:val="1"/>
      <w:numFmt w:val="lowerLetter"/>
      <w:lvlText w:val="%8."/>
      <w:lvlJc w:val="left"/>
      <w:pPr>
        <w:ind w:left="5040" w:hanging="360"/>
      </w:pPr>
    </w:lvl>
    <w:lvl w:ilvl="8" w:tplc="100C001B" w:tentative="1">
      <w:start w:val="1"/>
      <w:numFmt w:val="lowerRoman"/>
      <w:lvlText w:val="%9."/>
      <w:lvlJc w:val="right"/>
      <w:pPr>
        <w:ind w:left="5760" w:hanging="180"/>
      </w:pPr>
    </w:lvl>
  </w:abstractNum>
  <w:abstractNum w:abstractNumId="1" w15:restartNumberingAfterBreak="0">
    <w:nsid w:val="08D03C48"/>
    <w:multiLevelType w:val="hybridMultilevel"/>
    <w:tmpl w:val="2EB8CCCA"/>
    <w:lvl w:ilvl="0" w:tplc="0D9A1740">
      <w:start w:val="1"/>
      <w:numFmt w:val="upperRoman"/>
      <w:pStyle w:val="Titre1"/>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90F111C"/>
    <w:multiLevelType w:val="hybridMultilevel"/>
    <w:tmpl w:val="0EFE7D2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C74FE7"/>
    <w:multiLevelType w:val="hybridMultilevel"/>
    <w:tmpl w:val="3242546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84200A"/>
    <w:multiLevelType w:val="hybridMultilevel"/>
    <w:tmpl w:val="14F42456"/>
    <w:lvl w:ilvl="0" w:tplc="9D44A6DE">
      <w:start w:val="1"/>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5" w15:restartNumberingAfterBreak="0">
    <w:nsid w:val="2AE30744"/>
    <w:multiLevelType w:val="hybridMultilevel"/>
    <w:tmpl w:val="DA34752E"/>
    <w:lvl w:ilvl="0" w:tplc="C9206E16">
      <w:start w:val="1"/>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2FA05973"/>
    <w:multiLevelType w:val="hybridMultilevel"/>
    <w:tmpl w:val="01F68F7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6257354"/>
    <w:multiLevelType w:val="hybridMultilevel"/>
    <w:tmpl w:val="73225BEE"/>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14A70CF"/>
    <w:multiLevelType w:val="hybridMultilevel"/>
    <w:tmpl w:val="65166A9E"/>
    <w:lvl w:ilvl="0" w:tplc="BD362F90">
      <w:start w:val="1"/>
      <w:numFmt w:val="decimal"/>
      <w:lvlText w:val="%1."/>
      <w:lvlJc w:val="left"/>
      <w:pPr>
        <w:ind w:left="1080" w:hanging="360"/>
      </w:pPr>
      <w:rPr>
        <w:rFonts w:asciiTheme="minorHAnsi" w:eastAsiaTheme="minorHAnsi" w:hAnsiTheme="minorHAnsi" w:cstheme="minorBidi"/>
      </w:rPr>
    </w:lvl>
    <w:lvl w:ilvl="1" w:tplc="100C0003">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9" w15:restartNumberingAfterBreak="0">
    <w:nsid w:val="49A052D0"/>
    <w:multiLevelType w:val="hybridMultilevel"/>
    <w:tmpl w:val="9498EFE2"/>
    <w:lvl w:ilvl="0" w:tplc="189EDF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8295813"/>
    <w:multiLevelType w:val="hybridMultilevel"/>
    <w:tmpl w:val="3086126A"/>
    <w:lvl w:ilvl="0" w:tplc="100C0011">
      <w:start w:val="1"/>
      <w:numFmt w:val="decimal"/>
      <w:lvlText w:val="%1)"/>
      <w:lvlJc w:val="left"/>
      <w:pPr>
        <w:ind w:left="360" w:hanging="360"/>
      </w:pPr>
      <w:rPr>
        <w:rFonts w:hint="default"/>
        <w:b w:val="0"/>
        <w:bCs/>
      </w:rPr>
    </w:lvl>
    <w:lvl w:ilvl="1" w:tplc="100C0019">
      <w:start w:val="1"/>
      <w:numFmt w:val="lowerLetter"/>
      <w:lvlText w:val="%2."/>
      <w:lvlJc w:val="left"/>
      <w:pPr>
        <w:ind w:left="1080" w:hanging="360"/>
      </w:pPr>
    </w:lvl>
    <w:lvl w:ilvl="2" w:tplc="100C001B">
      <w:start w:val="1"/>
      <w:numFmt w:val="lowerRoman"/>
      <w:lvlText w:val="%3."/>
      <w:lvlJc w:val="right"/>
      <w:pPr>
        <w:ind w:left="1800" w:hanging="180"/>
      </w:pPr>
    </w:lvl>
    <w:lvl w:ilvl="3" w:tplc="100C000F">
      <w:start w:val="1"/>
      <w:numFmt w:val="decimal"/>
      <w:lvlText w:val="%4."/>
      <w:lvlJc w:val="left"/>
      <w:pPr>
        <w:ind w:left="2520" w:hanging="360"/>
      </w:pPr>
    </w:lvl>
    <w:lvl w:ilvl="4" w:tplc="86829C58">
      <w:start w:val="3"/>
      <w:numFmt w:val="bullet"/>
      <w:lvlText w:val="-"/>
      <w:lvlJc w:val="left"/>
      <w:pPr>
        <w:ind w:left="3240" w:hanging="360"/>
      </w:pPr>
      <w:rPr>
        <w:rFonts w:ascii="Arial" w:eastAsiaTheme="minorHAnsi" w:hAnsi="Arial" w:cs="Arial" w:hint="default"/>
      </w:r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1" w15:restartNumberingAfterBreak="0">
    <w:nsid w:val="59BB19AB"/>
    <w:multiLevelType w:val="hybridMultilevel"/>
    <w:tmpl w:val="D35299D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66F34664"/>
    <w:multiLevelType w:val="hybridMultilevel"/>
    <w:tmpl w:val="D03C1078"/>
    <w:lvl w:ilvl="0" w:tplc="5254F28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76F62AA"/>
    <w:multiLevelType w:val="hybridMultilevel"/>
    <w:tmpl w:val="A42CD320"/>
    <w:lvl w:ilvl="0" w:tplc="E6AAC6AE">
      <w:start w:val="1"/>
      <w:numFmt w:val="bullet"/>
      <w:lvlText w:val=""/>
      <w:lvlPicBulletId w:val="0"/>
      <w:lvlJc w:val="left"/>
      <w:pPr>
        <w:ind w:left="1440" w:hanging="360"/>
      </w:pPr>
      <w:rPr>
        <w:rFonts w:ascii="Symbol" w:hAnsi="Symbol" w:hint="default"/>
        <w:color w:val="auto"/>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4" w15:restartNumberingAfterBreak="0">
    <w:nsid w:val="67877A86"/>
    <w:multiLevelType w:val="hybridMultilevel"/>
    <w:tmpl w:val="97168B0A"/>
    <w:lvl w:ilvl="0" w:tplc="DBDE7686">
      <w:start w:val="1"/>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6B1003BD"/>
    <w:multiLevelType w:val="hybridMultilevel"/>
    <w:tmpl w:val="9B2EA3FA"/>
    <w:lvl w:ilvl="0" w:tplc="100C000F">
      <w:start w:val="1"/>
      <w:numFmt w:val="decimal"/>
      <w:lvlText w:val="%1."/>
      <w:lvlJc w:val="left"/>
      <w:pPr>
        <w:ind w:left="360" w:hanging="360"/>
      </w:pPr>
      <w:rPr>
        <w:rFonts w:hint="default"/>
      </w:rPr>
    </w:lvl>
    <w:lvl w:ilvl="1" w:tplc="100C0019">
      <w:start w:val="1"/>
      <w:numFmt w:val="lowerLetter"/>
      <w:lvlText w:val="%2."/>
      <w:lvlJc w:val="left"/>
      <w:pPr>
        <w:ind w:left="1080" w:hanging="360"/>
      </w:pPr>
    </w:lvl>
    <w:lvl w:ilvl="2" w:tplc="29503636">
      <w:start w:val="1"/>
      <w:numFmt w:val="lowerLetter"/>
      <w:lvlText w:val="%3."/>
      <w:lvlJc w:val="right"/>
      <w:pPr>
        <w:ind w:left="1800" w:hanging="180"/>
      </w:pPr>
      <w:rPr>
        <w:rFonts w:asciiTheme="minorHAnsi" w:eastAsiaTheme="minorHAnsi" w:hAnsiTheme="minorHAnsi" w:cstheme="minorBidi"/>
      </w:r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6" w15:restartNumberingAfterBreak="0">
    <w:nsid w:val="6B50180A"/>
    <w:multiLevelType w:val="hybridMultilevel"/>
    <w:tmpl w:val="91E46E6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6BF84DE6"/>
    <w:multiLevelType w:val="hybridMultilevel"/>
    <w:tmpl w:val="2B6AC92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71C90553"/>
    <w:multiLevelType w:val="hybridMultilevel"/>
    <w:tmpl w:val="2D5810F0"/>
    <w:lvl w:ilvl="0" w:tplc="7EA632A6">
      <w:start w:val="1"/>
      <w:numFmt w:val="decimal"/>
      <w:lvlText w:val="%1."/>
      <w:lvlJc w:val="left"/>
      <w:pPr>
        <w:ind w:left="720" w:hanging="360"/>
      </w:pPr>
      <w:rPr>
        <w:rFonts w:hint="default"/>
        <w:b/>
        <w:bCs/>
      </w:rPr>
    </w:lvl>
    <w:lvl w:ilvl="1" w:tplc="41F848FC">
      <w:start w:val="1"/>
      <w:numFmt w:val="lowerLetter"/>
      <w:lvlText w:val="%2."/>
      <w:lvlJc w:val="left"/>
      <w:pPr>
        <w:ind w:left="1440" w:hanging="360"/>
      </w:pPr>
      <w:rPr>
        <w:b w:val="0"/>
        <w:bCs w:val="0"/>
      </w:rPr>
    </w:lvl>
    <w:lvl w:ilvl="2" w:tplc="6ECCEF90">
      <w:start w:val="1"/>
      <w:numFmt w:val="lowerLetter"/>
      <w:lvlText w:val="%3."/>
      <w:lvlJc w:val="right"/>
      <w:pPr>
        <w:ind w:left="2160" w:hanging="180"/>
      </w:pPr>
      <w:rPr>
        <w:rFonts w:asciiTheme="minorHAnsi" w:eastAsiaTheme="minorHAnsi" w:hAnsiTheme="minorHAnsi" w:cstheme="minorBidi"/>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720A3842"/>
    <w:multiLevelType w:val="hybridMultilevel"/>
    <w:tmpl w:val="E5DCA550"/>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7D167F78"/>
    <w:multiLevelType w:val="hybridMultilevel"/>
    <w:tmpl w:val="FB5EC76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461775095">
    <w:abstractNumId w:val="6"/>
  </w:num>
  <w:num w:numId="2" w16cid:durableId="1725332382">
    <w:abstractNumId w:val="14"/>
  </w:num>
  <w:num w:numId="3" w16cid:durableId="256256839">
    <w:abstractNumId w:val="8"/>
  </w:num>
  <w:num w:numId="4" w16cid:durableId="1377117386">
    <w:abstractNumId w:val="10"/>
  </w:num>
  <w:num w:numId="5" w16cid:durableId="265238670">
    <w:abstractNumId w:val="18"/>
  </w:num>
  <w:num w:numId="6" w16cid:durableId="411270157">
    <w:abstractNumId w:val="7"/>
  </w:num>
  <w:num w:numId="7" w16cid:durableId="1973897875">
    <w:abstractNumId w:val="11"/>
  </w:num>
  <w:num w:numId="8" w16cid:durableId="1407413472">
    <w:abstractNumId w:val="4"/>
  </w:num>
  <w:num w:numId="9" w16cid:durableId="27920475">
    <w:abstractNumId w:val="17"/>
  </w:num>
  <w:num w:numId="10" w16cid:durableId="310988381">
    <w:abstractNumId w:val="15"/>
  </w:num>
  <w:num w:numId="11" w16cid:durableId="1005286281">
    <w:abstractNumId w:val="5"/>
  </w:num>
  <w:num w:numId="12" w16cid:durableId="1146387953">
    <w:abstractNumId w:val="16"/>
  </w:num>
  <w:num w:numId="13" w16cid:durableId="427240425">
    <w:abstractNumId w:val="0"/>
  </w:num>
  <w:num w:numId="14" w16cid:durableId="1175219035">
    <w:abstractNumId w:val="1"/>
  </w:num>
  <w:num w:numId="15" w16cid:durableId="1752047172">
    <w:abstractNumId w:val="12"/>
  </w:num>
  <w:num w:numId="16" w16cid:durableId="706806217">
    <w:abstractNumId w:val="2"/>
  </w:num>
  <w:num w:numId="17" w16cid:durableId="786628779">
    <w:abstractNumId w:val="9"/>
  </w:num>
  <w:num w:numId="18" w16cid:durableId="2114352797">
    <w:abstractNumId w:val="3"/>
  </w:num>
  <w:num w:numId="19" w16cid:durableId="719938610">
    <w:abstractNumId w:val="19"/>
  </w:num>
  <w:num w:numId="20" w16cid:durableId="2112622370">
    <w:abstractNumId w:val="13"/>
  </w:num>
  <w:num w:numId="21" w16cid:durableId="15009966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A9"/>
    <w:rsid w:val="000101C5"/>
    <w:rsid w:val="00013B10"/>
    <w:rsid w:val="00017D0D"/>
    <w:rsid w:val="00023E2A"/>
    <w:rsid w:val="00031D08"/>
    <w:rsid w:val="0004343B"/>
    <w:rsid w:val="0005022A"/>
    <w:rsid w:val="0005249E"/>
    <w:rsid w:val="00055651"/>
    <w:rsid w:val="00066EF4"/>
    <w:rsid w:val="00076439"/>
    <w:rsid w:val="00080318"/>
    <w:rsid w:val="000844D6"/>
    <w:rsid w:val="00085CFD"/>
    <w:rsid w:val="000A26D5"/>
    <w:rsid w:val="000A5F8F"/>
    <w:rsid w:val="000A6237"/>
    <w:rsid w:val="000D5A60"/>
    <w:rsid w:val="000D5C68"/>
    <w:rsid w:val="000E0590"/>
    <w:rsid w:val="000E0EE1"/>
    <w:rsid w:val="000E12EB"/>
    <w:rsid w:val="000E4B86"/>
    <w:rsid w:val="000E713E"/>
    <w:rsid w:val="001058B8"/>
    <w:rsid w:val="00106E50"/>
    <w:rsid w:val="00112B9E"/>
    <w:rsid w:val="00127199"/>
    <w:rsid w:val="00130E47"/>
    <w:rsid w:val="00141144"/>
    <w:rsid w:val="00144C5F"/>
    <w:rsid w:val="001809E4"/>
    <w:rsid w:val="00181836"/>
    <w:rsid w:val="00184894"/>
    <w:rsid w:val="001950E8"/>
    <w:rsid w:val="00195E9B"/>
    <w:rsid w:val="001960D3"/>
    <w:rsid w:val="001A1867"/>
    <w:rsid w:val="001A465C"/>
    <w:rsid w:val="001A7BB8"/>
    <w:rsid w:val="001B0CAA"/>
    <w:rsid w:val="001C2264"/>
    <w:rsid w:val="001C56E2"/>
    <w:rsid w:val="001D242C"/>
    <w:rsid w:val="001E395B"/>
    <w:rsid w:val="001F3761"/>
    <w:rsid w:val="001F47EE"/>
    <w:rsid w:val="00214A4C"/>
    <w:rsid w:val="00223E0A"/>
    <w:rsid w:val="00233D45"/>
    <w:rsid w:val="00257114"/>
    <w:rsid w:val="00267C09"/>
    <w:rsid w:val="00270D63"/>
    <w:rsid w:val="00277E18"/>
    <w:rsid w:val="002913E3"/>
    <w:rsid w:val="002A10EC"/>
    <w:rsid w:val="002B1624"/>
    <w:rsid w:val="002B6760"/>
    <w:rsid w:val="002D3495"/>
    <w:rsid w:val="002D48BA"/>
    <w:rsid w:val="002F1D67"/>
    <w:rsid w:val="003145BB"/>
    <w:rsid w:val="00325D27"/>
    <w:rsid w:val="003301C0"/>
    <w:rsid w:val="00330507"/>
    <w:rsid w:val="00335FC2"/>
    <w:rsid w:val="00336A86"/>
    <w:rsid w:val="00361F08"/>
    <w:rsid w:val="0036249A"/>
    <w:rsid w:val="00392CAD"/>
    <w:rsid w:val="00392E7E"/>
    <w:rsid w:val="00393D70"/>
    <w:rsid w:val="003A385F"/>
    <w:rsid w:val="003B00EC"/>
    <w:rsid w:val="003B0359"/>
    <w:rsid w:val="003B295A"/>
    <w:rsid w:val="003B2D05"/>
    <w:rsid w:val="003C3834"/>
    <w:rsid w:val="003D736C"/>
    <w:rsid w:val="003E3CB5"/>
    <w:rsid w:val="003E4260"/>
    <w:rsid w:val="003E5702"/>
    <w:rsid w:val="003F2090"/>
    <w:rsid w:val="003F268F"/>
    <w:rsid w:val="003F47F6"/>
    <w:rsid w:val="003F72B7"/>
    <w:rsid w:val="00421AA4"/>
    <w:rsid w:val="004259D0"/>
    <w:rsid w:val="0043236B"/>
    <w:rsid w:val="00441250"/>
    <w:rsid w:val="00447CA9"/>
    <w:rsid w:val="00451784"/>
    <w:rsid w:val="00452693"/>
    <w:rsid w:val="00454ABC"/>
    <w:rsid w:val="00463839"/>
    <w:rsid w:val="004674D8"/>
    <w:rsid w:val="00471814"/>
    <w:rsid w:val="00484A61"/>
    <w:rsid w:val="00494533"/>
    <w:rsid w:val="004A07CC"/>
    <w:rsid w:val="004A4725"/>
    <w:rsid w:val="004C0564"/>
    <w:rsid w:val="004C4611"/>
    <w:rsid w:val="004C6F60"/>
    <w:rsid w:val="004D2635"/>
    <w:rsid w:val="004E439E"/>
    <w:rsid w:val="004F60DF"/>
    <w:rsid w:val="0050497E"/>
    <w:rsid w:val="00511421"/>
    <w:rsid w:val="005203E1"/>
    <w:rsid w:val="005234BF"/>
    <w:rsid w:val="005444E9"/>
    <w:rsid w:val="00547E39"/>
    <w:rsid w:val="00550D10"/>
    <w:rsid w:val="00563014"/>
    <w:rsid w:val="005703BC"/>
    <w:rsid w:val="00570A15"/>
    <w:rsid w:val="00582B2D"/>
    <w:rsid w:val="00584338"/>
    <w:rsid w:val="00596740"/>
    <w:rsid w:val="005A32CA"/>
    <w:rsid w:val="005D14DD"/>
    <w:rsid w:val="005D3C0D"/>
    <w:rsid w:val="005D4B9D"/>
    <w:rsid w:val="005E0489"/>
    <w:rsid w:val="005E14EA"/>
    <w:rsid w:val="005F27B8"/>
    <w:rsid w:val="005F5AFA"/>
    <w:rsid w:val="005F6423"/>
    <w:rsid w:val="006002BE"/>
    <w:rsid w:val="006052B4"/>
    <w:rsid w:val="00606AE9"/>
    <w:rsid w:val="006072C1"/>
    <w:rsid w:val="00613490"/>
    <w:rsid w:val="00636C1B"/>
    <w:rsid w:val="006526D4"/>
    <w:rsid w:val="006528A4"/>
    <w:rsid w:val="00660F59"/>
    <w:rsid w:val="006778C5"/>
    <w:rsid w:val="006807D3"/>
    <w:rsid w:val="0069554A"/>
    <w:rsid w:val="006A70BF"/>
    <w:rsid w:val="006D75C4"/>
    <w:rsid w:val="006E1B86"/>
    <w:rsid w:val="006E6C3A"/>
    <w:rsid w:val="006F718A"/>
    <w:rsid w:val="00700FF4"/>
    <w:rsid w:val="007019B3"/>
    <w:rsid w:val="007036C2"/>
    <w:rsid w:val="00703E60"/>
    <w:rsid w:val="007078AC"/>
    <w:rsid w:val="00711D2F"/>
    <w:rsid w:val="007159F4"/>
    <w:rsid w:val="007361CA"/>
    <w:rsid w:val="00746EF0"/>
    <w:rsid w:val="00761997"/>
    <w:rsid w:val="007634CD"/>
    <w:rsid w:val="00763522"/>
    <w:rsid w:val="00766EB8"/>
    <w:rsid w:val="007A1852"/>
    <w:rsid w:val="007B211E"/>
    <w:rsid w:val="007C17E2"/>
    <w:rsid w:val="007C1E15"/>
    <w:rsid w:val="007C2465"/>
    <w:rsid w:val="007C772F"/>
    <w:rsid w:val="007E6DEE"/>
    <w:rsid w:val="007F227A"/>
    <w:rsid w:val="00801FBE"/>
    <w:rsid w:val="0080278A"/>
    <w:rsid w:val="00811463"/>
    <w:rsid w:val="00813EB1"/>
    <w:rsid w:val="00813FA4"/>
    <w:rsid w:val="00814532"/>
    <w:rsid w:val="00814F6E"/>
    <w:rsid w:val="0081543D"/>
    <w:rsid w:val="00821F24"/>
    <w:rsid w:val="0083590E"/>
    <w:rsid w:val="008359E7"/>
    <w:rsid w:val="00851DF6"/>
    <w:rsid w:val="00866AD9"/>
    <w:rsid w:val="00866E21"/>
    <w:rsid w:val="0086711B"/>
    <w:rsid w:val="00870791"/>
    <w:rsid w:val="00872D20"/>
    <w:rsid w:val="00874F2F"/>
    <w:rsid w:val="0089353E"/>
    <w:rsid w:val="00893AA1"/>
    <w:rsid w:val="008A1B41"/>
    <w:rsid w:val="008A2253"/>
    <w:rsid w:val="008C3659"/>
    <w:rsid w:val="008D56A5"/>
    <w:rsid w:val="008E299B"/>
    <w:rsid w:val="008F4D0A"/>
    <w:rsid w:val="009020BD"/>
    <w:rsid w:val="00905031"/>
    <w:rsid w:val="00907A0F"/>
    <w:rsid w:val="009112AE"/>
    <w:rsid w:val="009113AB"/>
    <w:rsid w:val="00912CE7"/>
    <w:rsid w:val="00914F35"/>
    <w:rsid w:val="00916B6E"/>
    <w:rsid w:val="009247D7"/>
    <w:rsid w:val="00934283"/>
    <w:rsid w:val="00936CE5"/>
    <w:rsid w:val="00942694"/>
    <w:rsid w:val="00945082"/>
    <w:rsid w:val="00945DDC"/>
    <w:rsid w:val="00960162"/>
    <w:rsid w:val="00964456"/>
    <w:rsid w:val="0099703E"/>
    <w:rsid w:val="009A1865"/>
    <w:rsid w:val="009A38B5"/>
    <w:rsid w:val="009E7D95"/>
    <w:rsid w:val="009F5AE4"/>
    <w:rsid w:val="00A00F39"/>
    <w:rsid w:val="00A20885"/>
    <w:rsid w:val="00A2099E"/>
    <w:rsid w:val="00A23258"/>
    <w:rsid w:val="00A240CC"/>
    <w:rsid w:val="00A24B70"/>
    <w:rsid w:val="00A518E1"/>
    <w:rsid w:val="00A64D87"/>
    <w:rsid w:val="00A716F7"/>
    <w:rsid w:val="00A72D05"/>
    <w:rsid w:val="00A73110"/>
    <w:rsid w:val="00A85147"/>
    <w:rsid w:val="00A912F2"/>
    <w:rsid w:val="00AA2F85"/>
    <w:rsid w:val="00AA538C"/>
    <w:rsid w:val="00AB1FB3"/>
    <w:rsid w:val="00AB356D"/>
    <w:rsid w:val="00AB6153"/>
    <w:rsid w:val="00AD7053"/>
    <w:rsid w:val="00AE4AB8"/>
    <w:rsid w:val="00AF69F1"/>
    <w:rsid w:val="00B05C6F"/>
    <w:rsid w:val="00B114BD"/>
    <w:rsid w:val="00B24F50"/>
    <w:rsid w:val="00B454FB"/>
    <w:rsid w:val="00B45F28"/>
    <w:rsid w:val="00B62D78"/>
    <w:rsid w:val="00B635F2"/>
    <w:rsid w:val="00B66E1D"/>
    <w:rsid w:val="00B80C1E"/>
    <w:rsid w:val="00BA162F"/>
    <w:rsid w:val="00BA7FCF"/>
    <w:rsid w:val="00BB53F0"/>
    <w:rsid w:val="00BC2C15"/>
    <w:rsid w:val="00BD1428"/>
    <w:rsid w:val="00C12883"/>
    <w:rsid w:val="00C23DE2"/>
    <w:rsid w:val="00C43B6E"/>
    <w:rsid w:val="00C577D6"/>
    <w:rsid w:val="00C930D7"/>
    <w:rsid w:val="00C93FFD"/>
    <w:rsid w:val="00C956AB"/>
    <w:rsid w:val="00C95A05"/>
    <w:rsid w:val="00CB11C6"/>
    <w:rsid w:val="00CD39CA"/>
    <w:rsid w:val="00CD7398"/>
    <w:rsid w:val="00CF6D29"/>
    <w:rsid w:val="00D01A84"/>
    <w:rsid w:val="00D02758"/>
    <w:rsid w:val="00D04DC9"/>
    <w:rsid w:val="00D06491"/>
    <w:rsid w:val="00D06801"/>
    <w:rsid w:val="00D163A1"/>
    <w:rsid w:val="00D167F6"/>
    <w:rsid w:val="00D224A7"/>
    <w:rsid w:val="00D25C38"/>
    <w:rsid w:val="00D472D3"/>
    <w:rsid w:val="00D542F2"/>
    <w:rsid w:val="00D61081"/>
    <w:rsid w:val="00D631FF"/>
    <w:rsid w:val="00D663A2"/>
    <w:rsid w:val="00D71EEF"/>
    <w:rsid w:val="00D83D75"/>
    <w:rsid w:val="00D847B9"/>
    <w:rsid w:val="00D847F7"/>
    <w:rsid w:val="00D86AA7"/>
    <w:rsid w:val="00D90D26"/>
    <w:rsid w:val="00D9217C"/>
    <w:rsid w:val="00D95DE7"/>
    <w:rsid w:val="00DA23AD"/>
    <w:rsid w:val="00DA7E9C"/>
    <w:rsid w:val="00DB1DFE"/>
    <w:rsid w:val="00DB4062"/>
    <w:rsid w:val="00DB4912"/>
    <w:rsid w:val="00DB5F50"/>
    <w:rsid w:val="00DB6E61"/>
    <w:rsid w:val="00DD1D4A"/>
    <w:rsid w:val="00DE1543"/>
    <w:rsid w:val="00DF4174"/>
    <w:rsid w:val="00DF650C"/>
    <w:rsid w:val="00E105E8"/>
    <w:rsid w:val="00E1529A"/>
    <w:rsid w:val="00E17881"/>
    <w:rsid w:val="00E317BA"/>
    <w:rsid w:val="00E336DA"/>
    <w:rsid w:val="00E53D34"/>
    <w:rsid w:val="00E62C87"/>
    <w:rsid w:val="00E6731F"/>
    <w:rsid w:val="00E67543"/>
    <w:rsid w:val="00E85539"/>
    <w:rsid w:val="00E87140"/>
    <w:rsid w:val="00EA0532"/>
    <w:rsid w:val="00EA1BC2"/>
    <w:rsid w:val="00EC1497"/>
    <w:rsid w:val="00EC6962"/>
    <w:rsid w:val="00ED6FE5"/>
    <w:rsid w:val="00EF0E28"/>
    <w:rsid w:val="00F17679"/>
    <w:rsid w:val="00F20FFA"/>
    <w:rsid w:val="00F23C87"/>
    <w:rsid w:val="00F32577"/>
    <w:rsid w:val="00F355F9"/>
    <w:rsid w:val="00F419B7"/>
    <w:rsid w:val="00F42DFF"/>
    <w:rsid w:val="00F51D82"/>
    <w:rsid w:val="00F54111"/>
    <w:rsid w:val="00F5671F"/>
    <w:rsid w:val="00F848FB"/>
    <w:rsid w:val="00F94904"/>
    <w:rsid w:val="00FB08C3"/>
    <w:rsid w:val="00FB74BB"/>
    <w:rsid w:val="00FC0216"/>
    <w:rsid w:val="00FC28E9"/>
    <w:rsid w:val="00FC6947"/>
    <w:rsid w:val="00FC6DBB"/>
    <w:rsid w:val="00FC7817"/>
    <w:rsid w:val="00FD174F"/>
    <w:rsid w:val="00FD636D"/>
    <w:rsid w:val="00FD706D"/>
    <w:rsid w:val="00FE0023"/>
    <w:rsid w:val="00FE7E76"/>
    <w:rsid w:val="00FF6A48"/>
    <w:rsid w:val="00FF7A7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F3D4"/>
  <w15:chartTrackingRefBased/>
  <w15:docId w15:val="{AE470842-FB54-4F07-A443-120792ED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Paragraphedeliste"/>
    <w:next w:val="Normal"/>
    <w:link w:val="Titre1Car"/>
    <w:uiPriority w:val="9"/>
    <w:qFormat/>
    <w:rsid w:val="00907A0F"/>
    <w:pPr>
      <w:numPr>
        <w:numId w:val="14"/>
      </w:numPr>
      <w:shd w:val="clear" w:color="auto" w:fill="FFFFFF"/>
      <w:spacing w:before="120" w:after="120" w:line="276" w:lineRule="auto"/>
      <w:ind w:left="360" w:hanging="360"/>
      <w:jc w:val="both"/>
      <w:outlineLvl w:val="0"/>
    </w:pPr>
    <w:rPr>
      <w:rFonts w:ascii="Verdana" w:eastAsiaTheme="minorEastAsia" w:hAnsi="Verdana" w:cs="Arial"/>
      <w:b/>
      <w:bCs/>
      <w:iCs/>
      <w:color w:val="2F5496" w:themeColor="accent1" w:themeShade="BF"/>
      <w:sz w:val="20"/>
      <w:szCs w:val="20"/>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7CA9"/>
    <w:pPr>
      <w:ind w:left="720"/>
      <w:contextualSpacing/>
    </w:pPr>
  </w:style>
  <w:style w:type="character" w:customStyle="1" w:styleId="hgkelc">
    <w:name w:val="hgkelc"/>
    <w:basedOn w:val="Policepardfaut"/>
    <w:rsid w:val="00330507"/>
  </w:style>
  <w:style w:type="paragraph" w:styleId="En-tte">
    <w:name w:val="header"/>
    <w:basedOn w:val="Normal"/>
    <w:link w:val="En-tteCar"/>
    <w:uiPriority w:val="99"/>
    <w:unhideWhenUsed/>
    <w:rsid w:val="001B0CAA"/>
    <w:pPr>
      <w:tabs>
        <w:tab w:val="center" w:pos="4536"/>
        <w:tab w:val="right" w:pos="9072"/>
      </w:tabs>
      <w:spacing w:after="0" w:line="240" w:lineRule="auto"/>
    </w:pPr>
  </w:style>
  <w:style w:type="character" w:customStyle="1" w:styleId="En-tteCar">
    <w:name w:val="En-tête Car"/>
    <w:basedOn w:val="Policepardfaut"/>
    <w:link w:val="En-tte"/>
    <w:uiPriority w:val="99"/>
    <w:rsid w:val="001B0CAA"/>
  </w:style>
  <w:style w:type="paragraph" w:styleId="Pieddepage">
    <w:name w:val="footer"/>
    <w:basedOn w:val="Normal"/>
    <w:link w:val="PieddepageCar"/>
    <w:uiPriority w:val="99"/>
    <w:unhideWhenUsed/>
    <w:rsid w:val="001B0C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0CAA"/>
  </w:style>
  <w:style w:type="character" w:styleId="lev">
    <w:name w:val="Strong"/>
    <w:basedOn w:val="Policepardfaut"/>
    <w:uiPriority w:val="22"/>
    <w:qFormat/>
    <w:rsid w:val="004674D8"/>
    <w:rPr>
      <w:b/>
      <w:bCs/>
    </w:rPr>
  </w:style>
  <w:style w:type="character" w:styleId="Lienhypertexte">
    <w:name w:val="Hyperlink"/>
    <w:basedOn w:val="Policepardfaut"/>
    <w:uiPriority w:val="99"/>
    <w:unhideWhenUsed/>
    <w:rsid w:val="004674D8"/>
    <w:rPr>
      <w:color w:val="0000FF"/>
      <w:u w:val="single"/>
    </w:rPr>
  </w:style>
  <w:style w:type="table" w:styleId="Grilledutableau">
    <w:name w:val="Table Grid"/>
    <w:basedOn w:val="TableauNormal"/>
    <w:uiPriority w:val="39"/>
    <w:rsid w:val="00A00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05E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Numrodepage">
    <w:name w:val="page number"/>
    <w:basedOn w:val="Policepardfaut"/>
    <w:uiPriority w:val="99"/>
    <w:semiHidden/>
    <w:unhideWhenUsed/>
    <w:rsid w:val="00EC1497"/>
  </w:style>
  <w:style w:type="character" w:customStyle="1" w:styleId="Titre1Car">
    <w:name w:val="Titre 1 Car"/>
    <w:basedOn w:val="Policepardfaut"/>
    <w:link w:val="Titre1"/>
    <w:uiPriority w:val="9"/>
    <w:rsid w:val="00907A0F"/>
    <w:rPr>
      <w:rFonts w:ascii="Verdana" w:eastAsiaTheme="minorEastAsia" w:hAnsi="Verdana" w:cs="Arial"/>
      <w:b/>
      <w:bCs/>
      <w:iCs/>
      <w:color w:val="2F5496" w:themeColor="accent1" w:themeShade="BF"/>
      <w:sz w:val="20"/>
      <w:szCs w:val="20"/>
      <w:shd w:val="clear" w:color="auto" w:fill="FFFFFF"/>
      <w:lang w:val="fr-FR" w:eastAsia="zh-CN"/>
    </w:rPr>
  </w:style>
  <w:style w:type="character" w:styleId="Mentionnonrsolue">
    <w:name w:val="Unresolved Mention"/>
    <w:basedOn w:val="Policepardfaut"/>
    <w:uiPriority w:val="99"/>
    <w:semiHidden/>
    <w:unhideWhenUsed/>
    <w:rsid w:val="005D4B9D"/>
    <w:rPr>
      <w:color w:val="605E5C"/>
      <w:shd w:val="clear" w:color="auto" w:fill="E1DFDD"/>
    </w:rPr>
  </w:style>
  <w:style w:type="paragraph" w:styleId="TM1">
    <w:name w:val="toc 1"/>
    <w:basedOn w:val="Normal"/>
    <w:next w:val="Normal"/>
    <w:autoRedefine/>
    <w:uiPriority w:val="39"/>
    <w:unhideWhenUsed/>
    <w:rsid w:val="00711D2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4383">
      <w:bodyDiv w:val="1"/>
      <w:marLeft w:val="0"/>
      <w:marRight w:val="0"/>
      <w:marTop w:val="0"/>
      <w:marBottom w:val="0"/>
      <w:divBdr>
        <w:top w:val="none" w:sz="0" w:space="0" w:color="auto"/>
        <w:left w:val="none" w:sz="0" w:space="0" w:color="auto"/>
        <w:bottom w:val="none" w:sz="0" w:space="0" w:color="auto"/>
        <w:right w:val="none" w:sz="0" w:space="0" w:color="auto"/>
      </w:divBdr>
    </w:div>
    <w:div w:id="275407683">
      <w:bodyDiv w:val="1"/>
      <w:marLeft w:val="0"/>
      <w:marRight w:val="0"/>
      <w:marTop w:val="0"/>
      <w:marBottom w:val="0"/>
      <w:divBdr>
        <w:top w:val="none" w:sz="0" w:space="0" w:color="auto"/>
        <w:left w:val="none" w:sz="0" w:space="0" w:color="auto"/>
        <w:bottom w:val="none" w:sz="0" w:space="0" w:color="auto"/>
        <w:right w:val="none" w:sz="0" w:space="0" w:color="auto"/>
      </w:divBdr>
      <w:divsChild>
        <w:div w:id="93062475">
          <w:marLeft w:val="0"/>
          <w:marRight w:val="0"/>
          <w:marTop w:val="0"/>
          <w:marBottom w:val="0"/>
          <w:divBdr>
            <w:top w:val="none" w:sz="0" w:space="0" w:color="auto"/>
            <w:left w:val="none" w:sz="0" w:space="0" w:color="auto"/>
            <w:bottom w:val="none" w:sz="0" w:space="0" w:color="auto"/>
            <w:right w:val="none" w:sz="0" w:space="0" w:color="auto"/>
          </w:divBdr>
          <w:divsChild>
            <w:div w:id="1983535761">
              <w:marLeft w:val="0"/>
              <w:marRight w:val="0"/>
              <w:marTop w:val="0"/>
              <w:marBottom w:val="0"/>
              <w:divBdr>
                <w:top w:val="none" w:sz="0" w:space="0" w:color="auto"/>
                <w:left w:val="none" w:sz="0" w:space="0" w:color="auto"/>
                <w:bottom w:val="none" w:sz="0" w:space="0" w:color="auto"/>
                <w:right w:val="none" w:sz="0" w:space="0" w:color="auto"/>
              </w:divBdr>
              <w:divsChild>
                <w:div w:id="394159628">
                  <w:marLeft w:val="0"/>
                  <w:marRight w:val="0"/>
                  <w:marTop w:val="0"/>
                  <w:marBottom w:val="0"/>
                  <w:divBdr>
                    <w:top w:val="none" w:sz="0" w:space="0" w:color="auto"/>
                    <w:left w:val="none" w:sz="0" w:space="0" w:color="auto"/>
                    <w:bottom w:val="none" w:sz="0" w:space="0" w:color="auto"/>
                    <w:right w:val="none" w:sz="0" w:space="0" w:color="auto"/>
                  </w:divBdr>
                  <w:divsChild>
                    <w:div w:id="2115201819">
                      <w:marLeft w:val="0"/>
                      <w:marRight w:val="0"/>
                      <w:marTop w:val="0"/>
                      <w:marBottom w:val="0"/>
                      <w:divBdr>
                        <w:top w:val="none" w:sz="0" w:space="0" w:color="auto"/>
                        <w:left w:val="none" w:sz="0" w:space="0" w:color="auto"/>
                        <w:bottom w:val="none" w:sz="0" w:space="0" w:color="auto"/>
                        <w:right w:val="none" w:sz="0" w:space="0" w:color="auto"/>
                      </w:divBdr>
                    </w:div>
                  </w:divsChild>
                </w:div>
                <w:div w:id="1968469506">
                  <w:marLeft w:val="0"/>
                  <w:marRight w:val="0"/>
                  <w:marTop w:val="0"/>
                  <w:marBottom w:val="0"/>
                  <w:divBdr>
                    <w:top w:val="none" w:sz="0" w:space="0" w:color="auto"/>
                    <w:left w:val="none" w:sz="0" w:space="0" w:color="auto"/>
                    <w:bottom w:val="none" w:sz="0" w:space="0" w:color="auto"/>
                    <w:right w:val="none" w:sz="0" w:space="0" w:color="auto"/>
                  </w:divBdr>
                  <w:divsChild>
                    <w:div w:id="2021471846">
                      <w:marLeft w:val="0"/>
                      <w:marRight w:val="0"/>
                      <w:marTop w:val="0"/>
                      <w:marBottom w:val="0"/>
                      <w:divBdr>
                        <w:top w:val="none" w:sz="0" w:space="0" w:color="auto"/>
                        <w:left w:val="none" w:sz="0" w:space="0" w:color="auto"/>
                        <w:bottom w:val="none" w:sz="0" w:space="0" w:color="auto"/>
                        <w:right w:val="none" w:sz="0" w:space="0" w:color="auto"/>
                      </w:divBdr>
                    </w:div>
                  </w:divsChild>
                </w:div>
                <w:div w:id="1441729153">
                  <w:marLeft w:val="0"/>
                  <w:marRight w:val="0"/>
                  <w:marTop w:val="0"/>
                  <w:marBottom w:val="0"/>
                  <w:divBdr>
                    <w:top w:val="none" w:sz="0" w:space="0" w:color="auto"/>
                    <w:left w:val="none" w:sz="0" w:space="0" w:color="auto"/>
                    <w:bottom w:val="none" w:sz="0" w:space="0" w:color="auto"/>
                    <w:right w:val="none" w:sz="0" w:space="0" w:color="auto"/>
                  </w:divBdr>
                  <w:divsChild>
                    <w:div w:id="1806853543">
                      <w:marLeft w:val="0"/>
                      <w:marRight w:val="0"/>
                      <w:marTop w:val="0"/>
                      <w:marBottom w:val="0"/>
                      <w:divBdr>
                        <w:top w:val="none" w:sz="0" w:space="0" w:color="auto"/>
                        <w:left w:val="none" w:sz="0" w:space="0" w:color="auto"/>
                        <w:bottom w:val="none" w:sz="0" w:space="0" w:color="auto"/>
                        <w:right w:val="none" w:sz="0" w:space="0" w:color="auto"/>
                      </w:divBdr>
                    </w:div>
                  </w:divsChild>
                </w:div>
                <w:div w:id="1043410574">
                  <w:marLeft w:val="0"/>
                  <w:marRight w:val="0"/>
                  <w:marTop w:val="0"/>
                  <w:marBottom w:val="0"/>
                  <w:divBdr>
                    <w:top w:val="none" w:sz="0" w:space="0" w:color="auto"/>
                    <w:left w:val="none" w:sz="0" w:space="0" w:color="auto"/>
                    <w:bottom w:val="none" w:sz="0" w:space="0" w:color="auto"/>
                    <w:right w:val="none" w:sz="0" w:space="0" w:color="auto"/>
                  </w:divBdr>
                  <w:divsChild>
                    <w:div w:id="201409239">
                      <w:marLeft w:val="0"/>
                      <w:marRight w:val="0"/>
                      <w:marTop w:val="0"/>
                      <w:marBottom w:val="0"/>
                      <w:divBdr>
                        <w:top w:val="none" w:sz="0" w:space="0" w:color="auto"/>
                        <w:left w:val="none" w:sz="0" w:space="0" w:color="auto"/>
                        <w:bottom w:val="none" w:sz="0" w:space="0" w:color="auto"/>
                        <w:right w:val="none" w:sz="0" w:space="0" w:color="auto"/>
                      </w:divBdr>
                    </w:div>
                  </w:divsChild>
                </w:div>
                <w:div w:id="223107775">
                  <w:marLeft w:val="0"/>
                  <w:marRight w:val="0"/>
                  <w:marTop w:val="0"/>
                  <w:marBottom w:val="0"/>
                  <w:divBdr>
                    <w:top w:val="none" w:sz="0" w:space="0" w:color="auto"/>
                    <w:left w:val="none" w:sz="0" w:space="0" w:color="auto"/>
                    <w:bottom w:val="none" w:sz="0" w:space="0" w:color="auto"/>
                    <w:right w:val="none" w:sz="0" w:space="0" w:color="auto"/>
                  </w:divBdr>
                  <w:divsChild>
                    <w:div w:id="81798637">
                      <w:marLeft w:val="0"/>
                      <w:marRight w:val="0"/>
                      <w:marTop w:val="0"/>
                      <w:marBottom w:val="0"/>
                      <w:divBdr>
                        <w:top w:val="none" w:sz="0" w:space="0" w:color="auto"/>
                        <w:left w:val="none" w:sz="0" w:space="0" w:color="auto"/>
                        <w:bottom w:val="none" w:sz="0" w:space="0" w:color="auto"/>
                        <w:right w:val="none" w:sz="0" w:space="0" w:color="auto"/>
                      </w:divBdr>
                    </w:div>
                  </w:divsChild>
                </w:div>
                <w:div w:id="1599604411">
                  <w:marLeft w:val="0"/>
                  <w:marRight w:val="0"/>
                  <w:marTop w:val="0"/>
                  <w:marBottom w:val="0"/>
                  <w:divBdr>
                    <w:top w:val="none" w:sz="0" w:space="0" w:color="auto"/>
                    <w:left w:val="none" w:sz="0" w:space="0" w:color="auto"/>
                    <w:bottom w:val="none" w:sz="0" w:space="0" w:color="auto"/>
                    <w:right w:val="none" w:sz="0" w:space="0" w:color="auto"/>
                  </w:divBdr>
                  <w:divsChild>
                    <w:div w:id="553734">
                      <w:marLeft w:val="0"/>
                      <w:marRight w:val="0"/>
                      <w:marTop w:val="0"/>
                      <w:marBottom w:val="0"/>
                      <w:divBdr>
                        <w:top w:val="none" w:sz="0" w:space="0" w:color="auto"/>
                        <w:left w:val="none" w:sz="0" w:space="0" w:color="auto"/>
                        <w:bottom w:val="none" w:sz="0" w:space="0" w:color="auto"/>
                        <w:right w:val="none" w:sz="0" w:space="0" w:color="auto"/>
                      </w:divBdr>
                    </w:div>
                  </w:divsChild>
                </w:div>
                <w:div w:id="2139638207">
                  <w:marLeft w:val="0"/>
                  <w:marRight w:val="0"/>
                  <w:marTop w:val="0"/>
                  <w:marBottom w:val="0"/>
                  <w:divBdr>
                    <w:top w:val="none" w:sz="0" w:space="0" w:color="auto"/>
                    <w:left w:val="none" w:sz="0" w:space="0" w:color="auto"/>
                    <w:bottom w:val="none" w:sz="0" w:space="0" w:color="auto"/>
                    <w:right w:val="none" w:sz="0" w:space="0" w:color="auto"/>
                  </w:divBdr>
                  <w:divsChild>
                    <w:div w:id="939416556">
                      <w:marLeft w:val="0"/>
                      <w:marRight w:val="0"/>
                      <w:marTop w:val="0"/>
                      <w:marBottom w:val="0"/>
                      <w:divBdr>
                        <w:top w:val="none" w:sz="0" w:space="0" w:color="auto"/>
                        <w:left w:val="none" w:sz="0" w:space="0" w:color="auto"/>
                        <w:bottom w:val="none" w:sz="0" w:space="0" w:color="auto"/>
                        <w:right w:val="none" w:sz="0" w:space="0" w:color="auto"/>
                      </w:divBdr>
                    </w:div>
                  </w:divsChild>
                </w:div>
                <w:div w:id="327682016">
                  <w:marLeft w:val="0"/>
                  <w:marRight w:val="0"/>
                  <w:marTop w:val="0"/>
                  <w:marBottom w:val="0"/>
                  <w:divBdr>
                    <w:top w:val="none" w:sz="0" w:space="0" w:color="auto"/>
                    <w:left w:val="none" w:sz="0" w:space="0" w:color="auto"/>
                    <w:bottom w:val="none" w:sz="0" w:space="0" w:color="auto"/>
                    <w:right w:val="none" w:sz="0" w:space="0" w:color="auto"/>
                  </w:divBdr>
                  <w:divsChild>
                    <w:div w:id="976371043">
                      <w:marLeft w:val="0"/>
                      <w:marRight w:val="0"/>
                      <w:marTop w:val="0"/>
                      <w:marBottom w:val="0"/>
                      <w:divBdr>
                        <w:top w:val="none" w:sz="0" w:space="0" w:color="auto"/>
                        <w:left w:val="none" w:sz="0" w:space="0" w:color="auto"/>
                        <w:bottom w:val="none" w:sz="0" w:space="0" w:color="auto"/>
                        <w:right w:val="none" w:sz="0" w:space="0" w:color="auto"/>
                      </w:divBdr>
                    </w:div>
                  </w:divsChild>
                </w:div>
                <w:div w:id="1695422990">
                  <w:marLeft w:val="0"/>
                  <w:marRight w:val="0"/>
                  <w:marTop w:val="0"/>
                  <w:marBottom w:val="0"/>
                  <w:divBdr>
                    <w:top w:val="none" w:sz="0" w:space="0" w:color="auto"/>
                    <w:left w:val="none" w:sz="0" w:space="0" w:color="auto"/>
                    <w:bottom w:val="none" w:sz="0" w:space="0" w:color="auto"/>
                    <w:right w:val="none" w:sz="0" w:space="0" w:color="auto"/>
                  </w:divBdr>
                  <w:divsChild>
                    <w:div w:id="689572120">
                      <w:marLeft w:val="0"/>
                      <w:marRight w:val="0"/>
                      <w:marTop w:val="0"/>
                      <w:marBottom w:val="0"/>
                      <w:divBdr>
                        <w:top w:val="none" w:sz="0" w:space="0" w:color="auto"/>
                        <w:left w:val="none" w:sz="0" w:space="0" w:color="auto"/>
                        <w:bottom w:val="none" w:sz="0" w:space="0" w:color="auto"/>
                        <w:right w:val="none" w:sz="0" w:space="0" w:color="auto"/>
                      </w:divBdr>
                    </w:div>
                  </w:divsChild>
                </w:div>
                <w:div w:id="170339024">
                  <w:marLeft w:val="0"/>
                  <w:marRight w:val="0"/>
                  <w:marTop w:val="0"/>
                  <w:marBottom w:val="0"/>
                  <w:divBdr>
                    <w:top w:val="none" w:sz="0" w:space="0" w:color="auto"/>
                    <w:left w:val="none" w:sz="0" w:space="0" w:color="auto"/>
                    <w:bottom w:val="none" w:sz="0" w:space="0" w:color="auto"/>
                    <w:right w:val="none" w:sz="0" w:space="0" w:color="auto"/>
                  </w:divBdr>
                  <w:divsChild>
                    <w:div w:id="2089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940008">
      <w:bodyDiv w:val="1"/>
      <w:marLeft w:val="0"/>
      <w:marRight w:val="0"/>
      <w:marTop w:val="0"/>
      <w:marBottom w:val="0"/>
      <w:divBdr>
        <w:top w:val="none" w:sz="0" w:space="0" w:color="auto"/>
        <w:left w:val="none" w:sz="0" w:space="0" w:color="auto"/>
        <w:bottom w:val="none" w:sz="0" w:space="0" w:color="auto"/>
        <w:right w:val="none" w:sz="0" w:space="0" w:color="auto"/>
      </w:divBdr>
    </w:div>
    <w:div w:id="720592610">
      <w:bodyDiv w:val="1"/>
      <w:marLeft w:val="0"/>
      <w:marRight w:val="0"/>
      <w:marTop w:val="0"/>
      <w:marBottom w:val="0"/>
      <w:divBdr>
        <w:top w:val="none" w:sz="0" w:space="0" w:color="auto"/>
        <w:left w:val="none" w:sz="0" w:space="0" w:color="auto"/>
        <w:bottom w:val="none" w:sz="0" w:space="0" w:color="auto"/>
        <w:right w:val="none" w:sz="0" w:space="0" w:color="auto"/>
      </w:divBdr>
    </w:div>
    <w:div w:id="754670811">
      <w:bodyDiv w:val="1"/>
      <w:marLeft w:val="0"/>
      <w:marRight w:val="0"/>
      <w:marTop w:val="0"/>
      <w:marBottom w:val="0"/>
      <w:divBdr>
        <w:top w:val="none" w:sz="0" w:space="0" w:color="auto"/>
        <w:left w:val="none" w:sz="0" w:space="0" w:color="auto"/>
        <w:bottom w:val="none" w:sz="0" w:space="0" w:color="auto"/>
        <w:right w:val="none" w:sz="0" w:space="0" w:color="auto"/>
      </w:divBdr>
    </w:div>
    <w:div w:id="791292685">
      <w:bodyDiv w:val="1"/>
      <w:marLeft w:val="0"/>
      <w:marRight w:val="0"/>
      <w:marTop w:val="0"/>
      <w:marBottom w:val="0"/>
      <w:divBdr>
        <w:top w:val="none" w:sz="0" w:space="0" w:color="auto"/>
        <w:left w:val="none" w:sz="0" w:space="0" w:color="auto"/>
        <w:bottom w:val="none" w:sz="0" w:space="0" w:color="auto"/>
        <w:right w:val="none" w:sz="0" w:space="0" w:color="auto"/>
      </w:divBdr>
    </w:div>
    <w:div w:id="1194268291">
      <w:bodyDiv w:val="1"/>
      <w:marLeft w:val="0"/>
      <w:marRight w:val="0"/>
      <w:marTop w:val="0"/>
      <w:marBottom w:val="0"/>
      <w:divBdr>
        <w:top w:val="none" w:sz="0" w:space="0" w:color="auto"/>
        <w:left w:val="none" w:sz="0" w:space="0" w:color="auto"/>
        <w:bottom w:val="none" w:sz="0" w:space="0" w:color="auto"/>
        <w:right w:val="none" w:sz="0" w:space="0" w:color="auto"/>
      </w:divBdr>
    </w:div>
    <w:div w:id="1358121962">
      <w:bodyDiv w:val="1"/>
      <w:marLeft w:val="0"/>
      <w:marRight w:val="0"/>
      <w:marTop w:val="0"/>
      <w:marBottom w:val="0"/>
      <w:divBdr>
        <w:top w:val="none" w:sz="0" w:space="0" w:color="auto"/>
        <w:left w:val="none" w:sz="0" w:space="0" w:color="auto"/>
        <w:bottom w:val="none" w:sz="0" w:space="0" w:color="auto"/>
        <w:right w:val="none" w:sz="0" w:space="0" w:color="auto"/>
      </w:divBdr>
    </w:div>
    <w:div w:id="1402602173">
      <w:bodyDiv w:val="1"/>
      <w:marLeft w:val="0"/>
      <w:marRight w:val="0"/>
      <w:marTop w:val="0"/>
      <w:marBottom w:val="0"/>
      <w:divBdr>
        <w:top w:val="none" w:sz="0" w:space="0" w:color="auto"/>
        <w:left w:val="none" w:sz="0" w:space="0" w:color="auto"/>
        <w:bottom w:val="none" w:sz="0" w:space="0" w:color="auto"/>
        <w:right w:val="none" w:sz="0" w:space="0" w:color="auto"/>
      </w:divBdr>
      <w:divsChild>
        <w:div w:id="1907447566">
          <w:marLeft w:val="0"/>
          <w:marRight w:val="0"/>
          <w:marTop w:val="0"/>
          <w:marBottom w:val="0"/>
          <w:divBdr>
            <w:top w:val="none" w:sz="0" w:space="0" w:color="auto"/>
            <w:left w:val="none" w:sz="0" w:space="0" w:color="auto"/>
            <w:bottom w:val="none" w:sz="0" w:space="0" w:color="auto"/>
            <w:right w:val="none" w:sz="0" w:space="0" w:color="auto"/>
          </w:divBdr>
        </w:div>
      </w:divsChild>
    </w:div>
    <w:div w:id="1441678250">
      <w:bodyDiv w:val="1"/>
      <w:marLeft w:val="0"/>
      <w:marRight w:val="0"/>
      <w:marTop w:val="0"/>
      <w:marBottom w:val="0"/>
      <w:divBdr>
        <w:top w:val="none" w:sz="0" w:space="0" w:color="auto"/>
        <w:left w:val="none" w:sz="0" w:space="0" w:color="auto"/>
        <w:bottom w:val="none" w:sz="0" w:space="0" w:color="auto"/>
        <w:right w:val="none" w:sz="0" w:space="0" w:color="auto"/>
      </w:divBdr>
    </w:div>
    <w:div w:id="1731532660">
      <w:bodyDiv w:val="1"/>
      <w:marLeft w:val="0"/>
      <w:marRight w:val="0"/>
      <w:marTop w:val="0"/>
      <w:marBottom w:val="0"/>
      <w:divBdr>
        <w:top w:val="none" w:sz="0" w:space="0" w:color="auto"/>
        <w:left w:val="none" w:sz="0" w:space="0" w:color="auto"/>
        <w:bottom w:val="none" w:sz="0" w:space="0" w:color="auto"/>
        <w:right w:val="none" w:sz="0" w:space="0" w:color="auto"/>
      </w:divBdr>
    </w:div>
    <w:div w:id="1740012180">
      <w:bodyDiv w:val="1"/>
      <w:marLeft w:val="0"/>
      <w:marRight w:val="0"/>
      <w:marTop w:val="0"/>
      <w:marBottom w:val="0"/>
      <w:divBdr>
        <w:top w:val="none" w:sz="0" w:space="0" w:color="auto"/>
        <w:left w:val="none" w:sz="0" w:space="0" w:color="auto"/>
        <w:bottom w:val="none" w:sz="0" w:space="0" w:color="auto"/>
        <w:right w:val="none" w:sz="0" w:space="0" w:color="auto"/>
      </w:divBdr>
    </w:div>
    <w:div w:id="214476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fedlex.admin.ch/eli/cc/2015/297/fr" TargetMode="External"/><Relationship Id="rId26" Type="http://schemas.openxmlformats.org/officeDocument/2006/relationships/hyperlink" Target="https://www.fedlex.admin.ch/eli/cc/2015/297/fr" TargetMode="External"/><Relationship Id="rId39" Type="http://schemas.openxmlformats.org/officeDocument/2006/relationships/hyperlink" Target="https://www.fedlex.admin.ch/eli/cc/2015/297/fr" TargetMode="External"/><Relationship Id="rId21" Type="http://schemas.openxmlformats.org/officeDocument/2006/relationships/hyperlink" Target="https://www.fedlex.admin.ch/eli/cc/2015/297/fr" TargetMode="External"/><Relationship Id="rId34" Type="http://schemas.openxmlformats.org/officeDocument/2006/relationships/hyperlink" Target="https://www.fedlex.admin.ch/eli/cc/2015/297/fr" TargetMode="External"/><Relationship Id="rId42" Type="http://schemas.openxmlformats.org/officeDocument/2006/relationships/footer" Target="footer1.xml"/><Relationship Id="rId47" Type="http://schemas.openxmlformats.org/officeDocument/2006/relationships/image" Target="media/image7.png"/><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lex.admin.ch/eli/cc/2015/297/fr" TargetMode="External"/><Relationship Id="rId29" Type="http://schemas.openxmlformats.org/officeDocument/2006/relationships/hyperlink" Target="https://www.fedlex.admin.ch/eli/cc/1999/404/fr" TargetMode="External"/><Relationship Id="rId11" Type="http://schemas.openxmlformats.org/officeDocument/2006/relationships/hyperlink" Target="https://www.fedlex.admin.ch/eli/cc/2015/297/fr" TargetMode="External"/><Relationship Id="rId24" Type="http://schemas.openxmlformats.org/officeDocument/2006/relationships/hyperlink" Target="https://www.fedlex.admin.ch/eli/cc/2015/297/fr" TargetMode="External"/><Relationship Id="rId32" Type="http://schemas.openxmlformats.org/officeDocument/2006/relationships/hyperlink" Target="https://www.fedlex.admin.ch/eli/cc/2015/297/fr" TargetMode="External"/><Relationship Id="rId37" Type="http://schemas.openxmlformats.org/officeDocument/2006/relationships/hyperlink" Target="https://www.fedlex.admin.ch/eli/cc/2015/297/fr"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edlex.admin.ch/eli/cc/2015/297/fr" TargetMode="External"/><Relationship Id="rId23" Type="http://schemas.openxmlformats.org/officeDocument/2006/relationships/hyperlink" Target="https://www.fedlex.admin.ch/eli/cc/1999/404/fr" TargetMode="External"/><Relationship Id="rId28" Type="http://schemas.openxmlformats.org/officeDocument/2006/relationships/hyperlink" Target="https://www.fedlex.admin.ch/eli/cc/2015/297/fr" TargetMode="External"/><Relationship Id="rId36" Type="http://schemas.openxmlformats.org/officeDocument/2006/relationships/hyperlink" Target="https://www.fedlex.admin.ch/eli/cc/2015/297/fr" TargetMode="External"/><Relationship Id="rId49" Type="http://schemas.openxmlformats.org/officeDocument/2006/relationships/theme" Target="theme/theme1.xml"/><Relationship Id="rId10" Type="http://schemas.openxmlformats.org/officeDocument/2006/relationships/hyperlink" Target="https://www.fedlex.admin.ch/eli/cc/2015/297/fr" TargetMode="External"/><Relationship Id="rId19" Type="http://schemas.openxmlformats.org/officeDocument/2006/relationships/hyperlink" Target="https://www.fedlex.admin.ch/eli/cc/2015/297/fr" TargetMode="External"/><Relationship Id="rId31" Type="http://schemas.openxmlformats.org/officeDocument/2006/relationships/hyperlink" Target="https://www.fedlex.admin.ch/eli/cc/2015/297/fr" TargetMode="External"/><Relationship Id="rId44" Type="http://schemas.openxmlformats.org/officeDocument/2006/relationships/header" Target="header3.xm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fedlex.admin.ch/eli/cc/2015/297/fr" TargetMode="External"/><Relationship Id="rId22" Type="http://schemas.openxmlformats.org/officeDocument/2006/relationships/hyperlink" Target="https://www.fedlex.admin.ch/eli/cc/2015/297/fr" TargetMode="External"/><Relationship Id="rId27" Type="http://schemas.openxmlformats.org/officeDocument/2006/relationships/hyperlink" Target="https://www.fedlex.admin.ch/eli/cc/2015/297/fr" TargetMode="External"/><Relationship Id="rId30" Type="http://schemas.openxmlformats.org/officeDocument/2006/relationships/hyperlink" Target="https://www.fedlex.admin.ch/eli/cc/2015/297/fr" TargetMode="External"/><Relationship Id="rId35" Type="http://schemas.openxmlformats.org/officeDocument/2006/relationships/hyperlink" Target="https://www.fedlex.admin.ch/eli/cc/2015/297/fr" TargetMode="External"/><Relationship Id="rId43" Type="http://schemas.openxmlformats.org/officeDocument/2006/relationships/footer" Target="footer2.xml"/><Relationship Id="rId48"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www.fedlex.admin.ch/eli/cc/2015/297/fr" TargetMode="External"/><Relationship Id="rId17" Type="http://schemas.openxmlformats.org/officeDocument/2006/relationships/hyperlink" Target="https://www.fedlex.admin.ch/eli/cc/2015/297/fr" TargetMode="External"/><Relationship Id="rId25" Type="http://schemas.openxmlformats.org/officeDocument/2006/relationships/hyperlink" Target="https://www.fedlex.admin.ch/eli/cc/2020/438/fr" TargetMode="External"/><Relationship Id="rId33" Type="http://schemas.openxmlformats.org/officeDocument/2006/relationships/hyperlink" Target="https://www.fedlex.admin.ch/eli/cc/2015/297/fr" TargetMode="External"/><Relationship Id="rId38" Type="http://schemas.openxmlformats.org/officeDocument/2006/relationships/hyperlink" Target="https://www.fedlex.admin.ch/eli/cc/2015/297/fr" TargetMode="External"/><Relationship Id="rId46" Type="http://schemas.openxmlformats.org/officeDocument/2006/relationships/image" Target="media/image6.png"/><Relationship Id="rId20" Type="http://schemas.openxmlformats.org/officeDocument/2006/relationships/hyperlink" Target="https://www.fedlex.admin.ch/eli/cc/2015/297/fr"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2A1A6DBD-4634-4740-B080-1EA5AD6233BB}">
  <ds:schemaRefs>
    <ds:schemaRef ds:uri="http://schemas.openxmlformats.org/officeDocument/2006/bibliography"/>
  </ds:schemaRefs>
</ds:datastoreItem>
</file>

<file path=customXml/itemProps2.xml><?xml version="1.0" encoding="utf-8"?>
<ds:datastoreItem xmlns:ds="http://schemas.openxmlformats.org/officeDocument/2006/customXml" ds:itemID="{CF0B88C6-D7BC-46F0-8811-A3AE72F28E74}"/>
</file>

<file path=customXml/itemProps3.xml><?xml version="1.0" encoding="utf-8"?>
<ds:datastoreItem xmlns:ds="http://schemas.openxmlformats.org/officeDocument/2006/customXml" ds:itemID="{29064FB3-FA09-4B86-8E50-11E8CB70DE70}"/>
</file>

<file path=customXml/itemProps4.xml><?xml version="1.0" encoding="utf-8"?>
<ds:datastoreItem xmlns:ds="http://schemas.openxmlformats.org/officeDocument/2006/customXml" ds:itemID="{1B1ABC79-D6CF-47A1-939C-7B0D58CFE716}"/>
</file>

<file path=docProps/app.xml><?xml version="1.0" encoding="utf-8"?>
<Properties xmlns="http://schemas.openxmlformats.org/officeDocument/2006/extended-properties" xmlns:vt="http://schemas.openxmlformats.org/officeDocument/2006/docPropsVTypes">
  <Template>Normal</Template>
  <TotalTime>0</TotalTime>
  <Pages>11</Pages>
  <Words>2321</Words>
  <Characters>12766</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Marie-Elisa Burckhardt</dc:creator>
  <cp:keywords/>
  <dc:description/>
  <cp:lastModifiedBy>Laurence Petoud</cp:lastModifiedBy>
  <cp:revision>75</cp:revision>
  <dcterms:created xsi:type="dcterms:W3CDTF">2021-01-03T15:02:00Z</dcterms:created>
  <dcterms:modified xsi:type="dcterms:W3CDTF">2023-04-04T06:38:00Z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